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D36B6" w14:paraId="4E6CB58D" w14:textId="77777777">
        <w:tc>
          <w:tcPr>
            <w:tcW w:w="1620" w:type="dxa"/>
            <w:tcBorders>
              <w:bottom w:val="single" w:sz="4" w:space="0" w:color="auto"/>
            </w:tcBorders>
            <w:shd w:val="clear" w:color="auto" w:fill="FFFFFF"/>
            <w:vAlign w:val="center"/>
          </w:tcPr>
          <w:p w14:paraId="7F15E48D" w14:textId="77777777" w:rsidR="00FB17E2" w:rsidRPr="00350AF0" w:rsidRDefault="0061075C" w:rsidP="00FB17E2">
            <w:pPr>
              <w:pStyle w:val="Header"/>
              <w:rPr>
                <w:rFonts w:cs="Arial"/>
              </w:rPr>
            </w:pPr>
            <w:r w:rsidRPr="00350AF0">
              <w:rPr>
                <w:rFonts w:cs="Arial"/>
              </w:rPr>
              <w:t>NPRR Number</w:t>
            </w:r>
          </w:p>
        </w:tc>
        <w:tc>
          <w:tcPr>
            <w:tcW w:w="1260" w:type="dxa"/>
            <w:tcBorders>
              <w:bottom w:val="single" w:sz="4" w:space="0" w:color="auto"/>
            </w:tcBorders>
            <w:vAlign w:val="center"/>
          </w:tcPr>
          <w:p w14:paraId="05EDF68E" w14:textId="1FB000B1" w:rsidR="00FB17E2" w:rsidRPr="00350AF0" w:rsidRDefault="0061075C" w:rsidP="00FB17E2">
            <w:pPr>
              <w:pStyle w:val="Header"/>
              <w:rPr>
                <w:rFonts w:cs="Arial"/>
              </w:rPr>
            </w:pPr>
            <w:hyperlink r:id="rId8" w:history="1">
              <w:r w:rsidR="00377216" w:rsidRPr="009F07FF">
                <w:rPr>
                  <w:rStyle w:val="Hyperlink"/>
                  <w:rFonts w:cs="Arial"/>
                </w:rPr>
                <w:t>1186</w:t>
              </w:r>
            </w:hyperlink>
          </w:p>
        </w:tc>
        <w:tc>
          <w:tcPr>
            <w:tcW w:w="900" w:type="dxa"/>
            <w:tcBorders>
              <w:bottom w:val="single" w:sz="4" w:space="0" w:color="auto"/>
            </w:tcBorders>
            <w:shd w:val="clear" w:color="auto" w:fill="FFFFFF"/>
            <w:vAlign w:val="center"/>
          </w:tcPr>
          <w:p w14:paraId="1518467B" w14:textId="77777777" w:rsidR="00FB17E2" w:rsidRPr="00350AF0" w:rsidRDefault="0061075C" w:rsidP="00FB17E2">
            <w:pPr>
              <w:pStyle w:val="Header"/>
              <w:rPr>
                <w:rFonts w:cs="Arial"/>
              </w:rPr>
            </w:pPr>
            <w:r w:rsidRPr="00350AF0">
              <w:rPr>
                <w:rFonts w:cs="Arial"/>
              </w:rPr>
              <w:t>NPRR Title</w:t>
            </w:r>
          </w:p>
        </w:tc>
        <w:tc>
          <w:tcPr>
            <w:tcW w:w="6660" w:type="dxa"/>
            <w:tcBorders>
              <w:bottom w:val="single" w:sz="4" w:space="0" w:color="auto"/>
            </w:tcBorders>
            <w:vAlign w:val="center"/>
          </w:tcPr>
          <w:p w14:paraId="5F54AC8E" w14:textId="77777777" w:rsidR="00FB17E2" w:rsidRPr="00350AF0" w:rsidRDefault="0061075C" w:rsidP="00FB17E2">
            <w:pPr>
              <w:pStyle w:val="Header"/>
              <w:rPr>
                <w:rFonts w:cs="Arial"/>
              </w:rPr>
            </w:pPr>
            <w:r w:rsidRPr="00350AF0">
              <w:rPr>
                <w:rFonts w:cs="Arial"/>
              </w:rPr>
              <w:t xml:space="preserve">Improvements Prior to the RTC+B Project for Better ESR State of Charge Awareness, Accounting, and Monitoring </w:t>
            </w:r>
          </w:p>
        </w:tc>
      </w:tr>
      <w:tr w:rsidR="009D36B6" w14:paraId="3C1D5805" w14:textId="77777777">
        <w:trPr>
          <w:trHeight w:val="413"/>
        </w:trPr>
        <w:tc>
          <w:tcPr>
            <w:tcW w:w="2880" w:type="dxa"/>
            <w:gridSpan w:val="2"/>
            <w:tcBorders>
              <w:top w:val="nil"/>
              <w:left w:val="nil"/>
              <w:bottom w:val="single" w:sz="4" w:space="0" w:color="auto"/>
              <w:right w:val="nil"/>
            </w:tcBorders>
            <w:vAlign w:val="center"/>
          </w:tcPr>
          <w:p w14:paraId="3B7DC6A1" w14:textId="77777777" w:rsidR="00FB17E2" w:rsidRPr="00350AF0" w:rsidRDefault="00FB17E2" w:rsidP="00FB17E2">
            <w:pPr>
              <w:pStyle w:val="NormalArial"/>
              <w:rPr>
                <w:rFonts w:cs="Arial"/>
              </w:rPr>
            </w:pPr>
          </w:p>
        </w:tc>
        <w:tc>
          <w:tcPr>
            <w:tcW w:w="7560" w:type="dxa"/>
            <w:gridSpan w:val="2"/>
            <w:tcBorders>
              <w:top w:val="single" w:sz="4" w:space="0" w:color="auto"/>
              <w:left w:val="nil"/>
              <w:bottom w:val="nil"/>
              <w:right w:val="nil"/>
            </w:tcBorders>
            <w:vAlign w:val="center"/>
          </w:tcPr>
          <w:p w14:paraId="6339D13F" w14:textId="77777777" w:rsidR="00FB17E2" w:rsidRPr="00350AF0" w:rsidRDefault="00FB17E2" w:rsidP="00FB17E2">
            <w:pPr>
              <w:pStyle w:val="NormalArial"/>
              <w:rPr>
                <w:rFonts w:cs="Arial"/>
              </w:rPr>
            </w:pPr>
          </w:p>
        </w:tc>
      </w:tr>
      <w:tr w:rsidR="009D36B6" w14:paraId="0A11A9A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CC69481" w14:textId="77777777" w:rsidR="00FB17E2" w:rsidRPr="00350AF0" w:rsidRDefault="0061075C" w:rsidP="00FB17E2">
            <w:pPr>
              <w:pStyle w:val="Header"/>
              <w:rPr>
                <w:rFonts w:cs="Arial"/>
              </w:rPr>
            </w:pPr>
            <w:r w:rsidRPr="00350AF0">
              <w:rPr>
                <w:rFonts w:cs="Arial"/>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3BE6C9" w14:textId="209C2700" w:rsidR="00FB17E2" w:rsidRPr="00350AF0" w:rsidRDefault="0061075C" w:rsidP="00FB17E2">
            <w:pPr>
              <w:pStyle w:val="NormalArial"/>
              <w:rPr>
                <w:rFonts w:cs="Arial"/>
              </w:rPr>
            </w:pPr>
            <w:r>
              <w:rPr>
                <w:rFonts w:cs="Arial"/>
              </w:rPr>
              <w:t xml:space="preserve">September </w:t>
            </w:r>
            <w:r w:rsidR="00914B74" w:rsidRPr="00914B74">
              <w:rPr>
                <w:rFonts w:cs="Arial"/>
                <w:shd w:val="clear" w:color="auto" w:fill="FFFFFF" w:themeFill="background1"/>
              </w:rPr>
              <w:t>25</w:t>
            </w:r>
            <w:r>
              <w:rPr>
                <w:rFonts w:cs="Arial"/>
              </w:rPr>
              <w:t>, 2023</w:t>
            </w:r>
          </w:p>
        </w:tc>
      </w:tr>
      <w:tr w:rsidR="009D36B6" w14:paraId="19CC85E0" w14:textId="77777777">
        <w:trPr>
          <w:trHeight w:val="467"/>
        </w:trPr>
        <w:tc>
          <w:tcPr>
            <w:tcW w:w="2880" w:type="dxa"/>
            <w:gridSpan w:val="2"/>
            <w:tcBorders>
              <w:top w:val="single" w:sz="4" w:space="0" w:color="auto"/>
              <w:left w:val="nil"/>
              <w:bottom w:val="nil"/>
              <w:right w:val="nil"/>
            </w:tcBorders>
            <w:shd w:val="clear" w:color="auto" w:fill="FFFFFF"/>
            <w:vAlign w:val="center"/>
          </w:tcPr>
          <w:p w14:paraId="62A53BA9" w14:textId="77777777" w:rsidR="00FB17E2" w:rsidRPr="00350AF0" w:rsidRDefault="00FB17E2" w:rsidP="00FB17E2">
            <w:pPr>
              <w:pStyle w:val="NormalArial"/>
              <w:rPr>
                <w:rFonts w:cs="Arial"/>
              </w:rPr>
            </w:pPr>
          </w:p>
        </w:tc>
        <w:tc>
          <w:tcPr>
            <w:tcW w:w="7560" w:type="dxa"/>
            <w:gridSpan w:val="2"/>
            <w:tcBorders>
              <w:top w:val="nil"/>
              <w:left w:val="nil"/>
              <w:bottom w:val="nil"/>
              <w:right w:val="nil"/>
            </w:tcBorders>
            <w:vAlign w:val="center"/>
          </w:tcPr>
          <w:p w14:paraId="77EEA8BE" w14:textId="77777777" w:rsidR="00FB17E2" w:rsidRPr="00350AF0" w:rsidRDefault="00FB17E2" w:rsidP="00FB17E2">
            <w:pPr>
              <w:pStyle w:val="NormalArial"/>
              <w:rPr>
                <w:rFonts w:cs="Arial"/>
              </w:rPr>
            </w:pPr>
          </w:p>
        </w:tc>
      </w:tr>
      <w:tr w:rsidR="009D36B6" w14:paraId="54245A81" w14:textId="77777777">
        <w:trPr>
          <w:trHeight w:val="440"/>
        </w:trPr>
        <w:tc>
          <w:tcPr>
            <w:tcW w:w="10440" w:type="dxa"/>
            <w:gridSpan w:val="4"/>
            <w:tcBorders>
              <w:top w:val="single" w:sz="4" w:space="0" w:color="auto"/>
            </w:tcBorders>
            <w:shd w:val="clear" w:color="auto" w:fill="FFFFFF"/>
            <w:vAlign w:val="center"/>
          </w:tcPr>
          <w:p w14:paraId="563897CC" w14:textId="77777777" w:rsidR="00FB17E2" w:rsidRPr="00350AF0" w:rsidRDefault="0061075C" w:rsidP="00FB17E2">
            <w:pPr>
              <w:pStyle w:val="Header"/>
              <w:jc w:val="center"/>
              <w:rPr>
                <w:rFonts w:cs="Arial"/>
              </w:rPr>
            </w:pPr>
            <w:r w:rsidRPr="00350AF0">
              <w:rPr>
                <w:rFonts w:cs="Arial"/>
              </w:rPr>
              <w:t>Submitter’s Information</w:t>
            </w:r>
          </w:p>
        </w:tc>
      </w:tr>
      <w:tr w:rsidR="009D36B6" w14:paraId="0D673B46" w14:textId="77777777">
        <w:trPr>
          <w:trHeight w:val="350"/>
        </w:trPr>
        <w:tc>
          <w:tcPr>
            <w:tcW w:w="2880" w:type="dxa"/>
            <w:gridSpan w:val="2"/>
            <w:shd w:val="clear" w:color="auto" w:fill="FFFFFF"/>
            <w:vAlign w:val="center"/>
          </w:tcPr>
          <w:p w14:paraId="11B0E833" w14:textId="77777777" w:rsidR="00FB17E2" w:rsidRPr="00350AF0" w:rsidRDefault="0061075C" w:rsidP="00FB17E2">
            <w:pPr>
              <w:pStyle w:val="Header"/>
              <w:rPr>
                <w:rFonts w:cs="Arial"/>
              </w:rPr>
            </w:pPr>
            <w:r w:rsidRPr="00350AF0">
              <w:rPr>
                <w:rFonts w:cs="Arial"/>
              </w:rPr>
              <w:t>Name</w:t>
            </w:r>
          </w:p>
        </w:tc>
        <w:tc>
          <w:tcPr>
            <w:tcW w:w="7560" w:type="dxa"/>
            <w:gridSpan w:val="2"/>
            <w:vAlign w:val="center"/>
          </w:tcPr>
          <w:p w14:paraId="4AC89E21" w14:textId="77777777" w:rsidR="00FB17E2" w:rsidRPr="00350AF0" w:rsidRDefault="0061075C" w:rsidP="00FB17E2">
            <w:pPr>
              <w:pStyle w:val="NormalArial"/>
              <w:rPr>
                <w:rFonts w:cs="Arial"/>
              </w:rPr>
            </w:pPr>
            <w:r w:rsidRPr="00350AF0">
              <w:rPr>
                <w:rFonts w:cs="Arial"/>
              </w:rPr>
              <w:t>Stephanie Smith</w:t>
            </w:r>
          </w:p>
        </w:tc>
      </w:tr>
      <w:tr w:rsidR="009D36B6" w14:paraId="596A4E4A" w14:textId="77777777">
        <w:trPr>
          <w:trHeight w:val="350"/>
        </w:trPr>
        <w:tc>
          <w:tcPr>
            <w:tcW w:w="2880" w:type="dxa"/>
            <w:gridSpan w:val="2"/>
            <w:shd w:val="clear" w:color="auto" w:fill="FFFFFF"/>
            <w:vAlign w:val="center"/>
          </w:tcPr>
          <w:p w14:paraId="4C599364" w14:textId="77777777" w:rsidR="00FB17E2" w:rsidRPr="00350AF0" w:rsidRDefault="0061075C" w:rsidP="00FB17E2">
            <w:pPr>
              <w:pStyle w:val="Header"/>
              <w:rPr>
                <w:rFonts w:cs="Arial"/>
              </w:rPr>
            </w:pPr>
            <w:r w:rsidRPr="00350AF0">
              <w:rPr>
                <w:rFonts w:cs="Arial"/>
              </w:rPr>
              <w:t xml:space="preserve">E-mail </w:t>
            </w:r>
            <w:r w:rsidRPr="00350AF0">
              <w:rPr>
                <w:rFonts w:cs="Arial"/>
              </w:rPr>
              <w:t>Address</w:t>
            </w:r>
          </w:p>
        </w:tc>
        <w:tc>
          <w:tcPr>
            <w:tcW w:w="7560" w:type="dxa"/>
            <w:gridSpan w:val="2"/>
            <w:vAlign w:val="center"/>
          </w:tcPr>
          <w:p w14:paraId="23784E8D" w14:textId="77777777" w:rsidR="00FB17E2" w:rsidRPr="00350AF0" w:rsidRDefault="0061075C" w:rsidP="00FB17E2">
            <w:pPr>
              <w:pStyle w:val="NormalArial"/>
              <w:rPr>
                <w:rFonts w:cs="Arial"/>
              </w:rPr>
            </w:pPr>
            <w:hyperlink r:id="rId9" w:history="1">
              <w:r w:rsidR="00377216" w:rsidRPr="00350AF0">
                <w:rPr>
                  <w:rStyle w:val="Hyperlink"/>
                  <w:rFonts w:cs="Arial"/>
                </w:rPr>
                <w:t>ssmith@eolianenergy.com</w:t>
              </w:r>
            </w:hyperlink>
            <w:r w:rsidR="00377216" w:rsidRPr="00350AF0">
              <w:rPr>
                <w:rFonts w:cs="Arial"/>
              </w:rPr>
              <w:t xml:space="preserve"> </w:t>
            </w:r>
          </w:p>
        </w:tc>
      </w:tr>
      <w:tr w:rsidR="009D36B6" w14:paraId="3ABDB969" w14:textId="77777777">
        <w:trPr>
          <w:trHeight w:val="350"/>
        </w:trPr>
        <w:tc>
          <w:tcPr>
            <w:tcW w:w="2880" w:type="dxa"/>
            <w:gridSpan w:val="2"/>
            <w:shd w:val="clear" w:color="auto" w:fill="FFFFFF"/>
            <w:vAlign w:val="center"/>
          </w:tcPr>
          <w:p w14:paraId="5E4A4945" w14:textId="77777777" w:rsidR="00FB17E2" w:rsidRPr="00350AF0" w:rsidRDefault="0061075C" w:rsidP="00FB17E2">
            <w:pPr>
              <w:pStyle w:val="Header"/>
              <w:rPr>
                <w:rFonts w:cs="Arial"/>
              </w:rPr>
            </w:pPr>
            <w:r w:rsidRPr="00350AF0">
              <w:rPr>
                <w:rFonts w:cs="Arial"/>
              </w:rPr>
              <w:t>Company</w:t>
            </w:r>
          </w:p>
        </w:tc>
        <w:tc>
          <w:tcPr>
            <w:tcW w:w="7560" w:type="dxa"/>
            <w:gridSpan w:val="2"/>
            <w:vAlign w:val="center"/>
          </w:tcPr>
          <w:p w14:paraId="62E9B47B" w14:textId="77777777" w:rsidR="00FB17E2" w:rsidRPr="00350AF0" w:rsidRDefault="0061075C" w:rsidP="00FB17E2">
            <w:pPr>
              <w:pStyle w:val="NormalArial"/>
              <w:rPr>
                <w:rFonts w:cs="Arial"/>
              </w:rPr>
            </w:pPr>
            <w:r w:rsidRPr="00350AF0">
              <w:rPr>
                <w:rFonts w:cs="Arial"/>
              </w:rPr>
              <w:t>Eolian LP</w:t>
            </w:r>
          </w:p>
        </w:tc>
      </w:tr>
      <w:tr w:rsidR="009D36B6" w14:paraId="5C622D17" w14:textId="77777777">
        <w:trPr>
          <w:trHeight w:val="350"/>
        </w:trPr>
        <w:tc>
          <w:tcPr>
            <w:tcW w:w="2880" w:type="dxa"/>
            <w:gridSpan w:val="2"/>
            <w:tcBorders>
              <w:bottom w:val="single" w:sz="4" w:space="0" w:color="auto"/>
            </w:tcBorders>
            <w:shd w:val="clear" w:color="auto" w:fill="FFFFFF"/>
            <w:vAlign w:val="center"/>
          </w:tcPr>
          <w:p w14:paraId="1B7ECC1C" w14:textId="77777777" w:rsidR="00FB17E2" w:rsidRPr="00350AF0" w:rsidRDefault="0061075C" w:rsidP="00FB17E2">
            <w:pPr>
              <w:pStyle w:val="Header"/>
              <w:rPr>
                <w:rFonts w:cs="Arial"/>
              </w:rPr>
            </w:pPr>
            <w:r w:rsidRPr="00350AF0">
              <w:rPr>
                <w:rFonts w:cs="Arial"/>
              </w:rPr>
              <w:t>Phone Number</w:t>
            </w:r>
          </w:p>
        </w:tc>
        <w:tc>
          <w:tcPr>
            <w:tcW w:w="7560" w:type="dxa"/>
            <w:gridSpan w:val="2"/>
            <w:tcBorders>
              <w:bottom w:val="single" w:sz="4" w:space="0" w:color="auto"/>
            </w:tcBorders>
            <w:vAlign w:val="center"/>
          </w:tcPr>
          <w:p w14:paraId="6A691547" w14:textId="77777777" w:rsidR="00FB17E2" w:rsidRPr="00350AF0" w:rsidRDefault="0061075C" w:rsidP="00FB17E2">
            <w:pPr>
              <w:pStyle w:val="NormalArial"/>
              <w:rPr>
                <w:rFonts w:cs="Arial"/>
              </w:rPr>
            </w:pPr>
            <w:r>
              <w:rPr>
                <w:rFonts w:cs="Arial"/>
              </w:rPr>
              <w:t>650.744.2100</w:t>
            </w:r>
          </w:p>
        </w:tc>
      </w:tr>
      <w:tr w:rsidR="009D36B6" w14:paraId="2014DBE7" w14:textId="77777777">
        <w:trPr>
          <w:trHeight w:val="350"/>
        </w:trPr>
        <w:tc>
          <w:tcPr>
            <w:tcW w:w="2880" w:type="dxa"/>
            <w:gridSpan w:val="2"/>
            <w:shd w:val="clear" w:color="auto" w:fill="FFFFFF"/>
            <w:vAlign w:val="center"/>
          </w:tcPr>
          <w:p w14:paraId="3D68C590" w14:textId="77777777" w:rsidR="00FB17E2" w:rsidRPr="00350AF0" w:rsidRDefault="0061075C" w:rsidP="00FB17E2">
            <w:pPr>
              <w:pStyle w:val="Header"/>
              <w:rPr>
                <w:rFonts w:cs="Arial"/>
              </w:rPr>
            </w:pPr>
            <w:r w:rsidRPr="00350AF0">
              <w:rPr>
                <w:rFonts w:cs="Arial"/>
              </w:rPr>
              <w:t>Cell Number</w:t>
            </w:r>
          </w:p>
        </w:tc>
        <w:tc>
          <w:tcPr>
            <w:tcW w:w="7560" w:type="dxa"/>
            <w:gridSpan w:val="2"/>
            <w:vAlign w:val="center"/>
          </w:tcPr>
          <w:p w14:paraId="777008F7" w14:textId="77777777" w:rsidR="00FB17E2" w:rsidRPr="00350AF0" w:rsidRDefault="00FB17E2" w:rsidP="00FB17E2">
            <w:pPr>
              <w:pStyle w:val="NormalArial"/>
              <w:rPr>
                <w:rFonts w:cs="Arial"/>
              </w:rPr>
            </w:pPr>
          </w:p>
        </w:tc>
      </w:tr>
      <w:tr w:rsidR="009D36B6" w14:paraId="2560EDC5" w14:textId="77777777">
        <w:trPr>
          <w:trHeight w:val="350"/>
        </w:trPr>
        <w:tc>
          <w:tcPr>
            <w:tcW w:w="2880" w:type="dxa"/>
            <w:gridSpan w:val="2"/>
            <w:tcBorders>
              <w:bottom w:val="single" w:sz="4" w:space="0" w:color="auto"/>
            </w:tcBorders>
            <w:shd w:val="clear" w:color="auto" w:fill="FFFFFF"/>
            <w:vAlign w:val="center"/>
          </w:tcPr>
          <w:p w14:paraId="5B44DD3F" w14:textId="77777777" w:rsidR="00FB17E2" w:rsidRPr="00350AF0" w:rsidRDefault="0061075C" w:rsidP="00FB17E2">
            <w:pPr>
              <w:pStyle w:val="Header"/>
              <w:rPr>
                <w:rFonts w:cs="Arial"/>
              </w:rPr>
            </w:pPr>
            <w:r w:rsidRPr="00350AF0">
              <w:rPr>
                <w:rFonts w:cs="Arial"/>
              </w:rPr>
              <w:t>Market Segment</w:t>
            </w:r>
          </w:p>
        </w:tc>
        <w:tc>
          <w:tcPr>
            <w:tcW w:w="7560" w:type="dxa"/>
            <w:gridSpan w:val="2"/>
            <w:tcBorders>
              <w:bottom w:val="single" w:sz="4" w:space="0" w:color="auto"/>
            </w:tcBorders>
            <w:vAlign w:val="center"/>
          </w:tcPr>
          <w:p w14:paraId="7BE899CB" w14:textId="4762DE35" w:rsidR="00FB17E2" w:rsidRPr="00350AF0" w:rsidRDefault="0061075C" w:rsidP="00FB17E2">
            <w:pPr>
              <w:pStyle w:val="NormalArial"/>
              <w:rPr>
                <w:rFonts w:cs="Arial"/>
              </w:rPr>
            </w:pPr>
            <w:r w:rsidRPr="00350AF0">
              <w:rPr>
                <w:rFonts w:cs="Arial"/>
              </w:rPr>
              <w:t>Independent Generator</w:t>
            </w:r>
          </w:p>
        </w:tc>
      </w:tr>
    </w:tbl>
    <w:p w14:paraId="7A97AE86" w14:textId="2D25D5FC" w:rsidR="00075A94" w:rsidRDefault="00075A9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D36B6" w14:paraId="6FB85BD6" w14:textId="77777777" w:rsidTr="00BD7DA9">
        <w:trPr>
          <w:trHeight w:val="350"/>
        </w:trPr>
        <w:tc>
          <w:tcPr>
            <w:tcW w:w="10440" w:type="dxa"/>
            <w:tcBorders>
              <w:bottom w:val="single" w:sz="4" w:space="0" w:color="auto"/>
            </w:tcBorders>
            <w:shd w:val="clear" w:color="auto" w:fill="FFFFFF"/>
            <w:vAlign w:val="center"/>
          </w:tcPr>
          <w:p w14:paraId="7C9EB5FB" w14:textId="3D8C74F1" w:rsidR="00377216" w:rsidRPr="00350AF0" w:rsidRDefault="0061075C" w:rsidP="00BD7DA9">
            <w:pPr>
              <w:pStyle w:val="Header"/>
              <w:jc w:val="center"/>
              <w:rPr>
                <w:rFonts w:cs="Arial"/>
              </w:rPr>
            </w:pPr>
            <w:r>
              <w:rPr>
                <w:rFonts w:cs="Arial"/>
              </w:rPr>
              <w:t>Comments</w:t>
            </w:r>
          </w:p>
        </w:tc>
      </w:tr>
    </w:tbl>
    <w:p w14:paraId="2D671929" w14:textId="77777777" w:rsidR="00152993" w:rsidRPr="00350AF0" w:rsidRDefault="00152993" w:rsidP="00FB17E2">
      <w:pPr>
        <w:pStyle w:val="NormalArial"/>
        <w:jc w:val="both"/>
        <w:rPr>
          <w:rFonts w:cs="Arial"/>
        </w:rPr>
      </w:pPr>
    </w:p>
    <w:p w14:paraId="3BEBD5D4" w14:textId="77777777" w:rsidR="00467ACC" w:rsidRDefault="0061075C" w:rsidP="00FB17E2">
      <w:pPr>
        <w:pStyle w:val="NormalArial"/>
        <w:jc w:val="both"/>
        <w:rPr>
          <w:rFonts w:cs="Arial"/>
        </w:rPr>
      </w:pPr>
      <w:r w:rsidRPr="00350AF0">
        <w:rPr>
          <w:rFonts w:cs="Arial"/>
        </w:rPr>
        <w:t xml:space="preserve">Eolian, L.P. (Eolian) </w:t>
      </w:r>
      <w:r w:rsidRPr="00350AF0">
        <w:rPr>
          <w:rFonts w:cs="Arial"/>
        </w:rPr>
        <w:t>submits these comments to Nodal Protocol Revision Request (NPRR) 1186</w:t>
      </w:r>
      <w:r>
        <w:rPr>
          <w:rFonts w:cs="Arial"/>
        </w:rPr>
        <w:t xml:space="preserve">. </w:t>
      </w:r>
    </w:p>
    <w:p w14:paraId="29E10D29" w14:textId="77777777" w:rsidR="00467ACC" w:rsidRDefault="00467ACC" w:rsidP="00FB17E2">
      <w:pPr>
        <w:pStyle w:val="NormalArial"/>
        <w:jc w:val="both"/>
        <w:rPr>
          <w:rFonts w:cs="Arial"/>
        </w:rPr>
      </w:pPr>
    </w:p>
    <w:p w14:paraId="096008A2" w14:textId="250F3251" w:rsidR="00767F29" w:rsidRDefault="0061075C" w:rsidP="006B1026">
      <w:pPr>
        <w:pStyle w:val="NormalArial"/>
        <w:jc w:val="both"/>
        <w:rPr>
          <w:rFonts w:cs="Arial"/>
        </w:rPr>
      </w:pPr>
      <w:r>
        <w:rPr>
          <w:rFonts w:cs="Arial"/>
        </w:rPr>
        <w:t xml:space="preserve">On September </w:t>
      </w:r>
      <w:r w:rsidR="002B57A6">
        <w:rPr>
          <w:rFonts w:cs="Arial"/>
        </w:rPr>
        <w:t xml:space="preserve">19, </w:t>
      </w:r>
      <w:r>
        <w:rPr>
          <w:rFonts w:cs="Arial"/>
        </w:rPr>
        <w:t xml:space="preserve">2023, ERCOT submitted comments to NPRR1186 for consideration by the Technical Advisory Committee (TAC) at its September 26, </w:t>
      </w:r>
      <w:proofErr w:type="gramStart"/>
      <w:r>
        <w:rPr>
          <w:rFonts w:cs="Arial"/>
        </w:rPr>
        <w:t>2023</w:t>
      </w:r>
      <w:proofErr w:type="gramEnd"/>
      <w:r w:rsidR="002B57A6">
        <w:rPr>
          <w:rFonts w:cs="Arial"/>
        </w:rPr>
        <w:t xml:space="preserve"> meeting</w:t>
      </w:r>
      <w:r>
        <w:rPr>
          <w:rFonts w:cs="Arial"/>
        </w:rPr>
        <w:t xml:space="preserve">. </w:t>
      </w:r>
      <w:r w:rsidR="00114208">
        <w:rPr>
          <w:rFonts w:cs="Arial"/>
        </w:rPr>
        <w:t xml:space="preserve">Eolian has been involved in all </w:t>
      </w:r>
      <w:r w:rsidR="002B57A6">
        <w:rPr>
          <w:rFonts w:cs="Arial"/>
        </w:rPr>
        <w:t xml:space="preserve">proposed </w:t>
      </w:r>
      <w:r w:rsidR="00114208">
        <w:rPr>
          <w:rFonts w:cs="Arial"/>
        </w:rPr>
        <w:t xml:space="preserve">ERCOT rule revisions that impose significant </w:t>
      </w:r>
      <w:r w:rsidR="006623D8">
        <w:rPr>
          <w:rFonts w:cs="Arial"/>
        </w:rPr>
        <w:t xml:space="preserve">operational impacts on ESRs. </w:t>
      </w:r>
      <w:r w:rsidR="00212DED">
        <w:rPr>
          <w:rFonts w:cs="Arial"/>
        </w:rPr>
        <w:t>To date,</w:t>
      </w:r>
      <w:r w:rsidR="00161AEA">
        <w:rPr>
          <w:rFonts w:cs="Arial"/>
        </w:rPr>
        <w:t xml:space="preserve"> Eolian has filed four sets of comments</w:t>
      </w:r>
      <w:r w:rsidR="00212DED">
        <w:rPr>
          <w:rFonts w:cs="Arial"/>
        </w:rPr>
        <w:t xml:space="preserve"> to NPRR1186,</w:t>
      </w:r>
      <w:r w:rsidR="00161AEA">
        <w:rPr>
          <w:rFonts w:cs="Arial"/>
        </w:rPr>
        <w:t xml:space="preserve"> and </w:t>
      </w:r>
      <w:r w:rsidR="00212DED">
        <w:rPr>
          <w:rFonts w:cs="Arial"/>
        </w:rPr>
        <w:t>one opposition to</w:t>
      </w:r>
      <w:r w:rsidR="00161AEA">
        <w:rPr>
          <w:rFonts w:cs="Arial"/>
        </w:rPr>
        <w:t xml:space="preserve"> </w:t>
      </w:r>
      <w:r w:rsidR="006E3C43">
        <w:rPr>
          <w:rFonts w:cs="Arial"/>
        </w:rPr>
        <w:t>TAC</w:t>
      </w:r>
      <w:r w:rsidR="00212DED">
        <w:rPr>
          <w:rFonts w:cs="Arial"/>
        </w:rPr>
        <w:t>’s August 22, 2023 recommendation that</w:t>
      </w:r>
      <w:r w:rsidR="006E3C43">
        <w:rPr>
          <w:rFonts w:cs="Arial"/>
        </w:rPr>
        <w:t xml:space="preserve"> </w:t>
      </w:r>
      <w:r w:rsidR="000D5E22">
        <w:rPr>
          <w:rFonts w:cs="Arial"/>
        </w:rPr>
        <w:t xml:space="preserve">the ERCOT Board </w:t>
      </w:r>
      <w:r w:rsidR="00212DED">
        <w:rPr>
          <w:rFonts w:cs="Arial"/>
        </w:rPr>
        <w:t xml:space="preserve">vote to </w:t>
      </w:r>
      <w:r w:rsidR="006E3C43">
        <w:rPr>
          <w:rFonts w:cs="Arial"/>
        </w:rPr>
        <w:t xml:space="preserve">recommend </w:t>
      </w:r>
      <w:r w:rsidR="00212DED">
        <w:rPr>
          <w:rFonts w:cs="Arial"/>
        </w:rPr>
        <w:t>that the Public Utility Commission of Texas approve</w:t>
      </w:r>
      <w:r w:rsidR="000D5E22">
        <w:rPr>
          <w:rFonts w:cs="Arial"/>
        </w:rPr>
        <w:t xml:space="preserve"> NPRR1186 (</w:t>
      </w:r>
      <w:hyperlink r:id="rId10" w:history="1">
        <w:r w:rsidR="000D5E22">
          <w:rPr>
            <w:rStyle w:val="Hyperlink"/>
            <w:rFonts w:cs="Arial"/>
          </w:rPr>
          <w:t>08/28/2023 TAC-Approved Version</w:t>
        </w:r>
      </w:hyperlink>
      <w:r w:rsidR="000D5E22">
        <w:rPr>
          <w:rFonts w:cs="Arial"/>
        </w:rPr>
        <w:t>).</w:t>
      </w:r>
      <w:r>
        <w:rPr>
          <w:rStyle w:val="FootnoteReference"/>
          <w:rFonts w:cs="Arial"/>
        </w:rPr>
        <w:footnoteReference w:id="1"/>
      </w:r>
      <w:r w:rsidR="000D5E22">
        <w:rPr>
          <w:rFonts w:cs="Arial"/>
        </w:rPr>
        <w:t xml:space="preserve"> </w:t>
      </w:r>
    </w:p>
    <w:p w14:paraId="30375F14" w14:textId="77777777" w:rsidR="00767F29" w:rsidRDefault="00767F29" w:rsidP="006B1026">
      <w:pPr>
        <w:pStyle w:val="NormalArial"/>
        <w:jc w:val="both"/>
        <w:rPr>
          <w:rFonts w:cs="Arial"/>
        </w:rPr>
      </w:pPr>
    </w:p>
    <w:p w14:paraId="4695C731" w14:textId="1C70ACCF" w:rsidR="005964E5" w:rsidRDefault="0061075C" w:rsidP="006B1026">
      <w:pPr>
        <w:pStyle w:val="NormalArial"/>
        <w:jc w:val="both"/>
        <w:rPr>
          <w:rFonts w:cs="Arial"/>
        </w:rPr>
      </w:pPr>
      <w:r>
        <w:rPr>
          <w:rFonts w:cs="Arial"/>
        </w:rPr>
        <w:t>Eolian appreciates ERCOT’s curre</w:t>
      </w:r>
      <w:r>
        <w:rPr>
          <w:rFonts w:cs="Arial"/>
        </w:rPr>
        <w:t xml:space="preserve">nt </w:t>
      </w:r>
      <w:r w:rsidR="002B57A6">
        <w:rPr>
          <w:rFonts w:cs="Arial"/>
        </w:rPr>
        <w:t xml:space="preserve">proposal </w:t>
      </w:r>
      <w:r w:rsidR="00BA78D0">
        <w:rPr>
          <w:rFonts w:cs="Arial"/>
        </w:rPr>
        <w:t>to revise, as directed</w:t>
      </w:r>
      <w:r w:rsidR="006B4272">
        <w:rPr>
          <w:rFonts w:cs="Arial"/>
        </w:rPr>
        <w:t xml:space="preserve"> by the ERCOT Board</w:t>
      </w:r>
      <w:r w:rsidR="00BA78D0">
        <w:rPr>
          <w:rFonts w:cs="Arial"/>
        </w:rPr>
        <w:t xml:space="preserve">, stranded capacity during scarcity events. </w:t>
      </w:r>
      <w:r w:rsidR="006B4272">
        <w:rPr>
          <w:rFonts w:cs="Arial"/>
        </w:rPr>
        <w:t xml:space="preserve">ERCOT’s comments propose to further revise NPRR1186 to </w:t>
      </w:r>
      <w:proofErr w:type="gramStart"/>
      <w:r w:rsidR="006B4272">
        <w:rPr>
          <w:rFonts w:cs="Arial"/>
        </w:rPr>
        <w:t xml:space="preserve">expand this modification to </w:t>
      </w:r>
      <w:r w:rsidR="00914B74">
        <w:rPr>
          <w:rFonts w:cs="Arial"/>
        </w:rPr>
        <w:t>Energy Storage Resources (</w:t>
      </w:r>
      <w:r w:rsidR="006B4272">
        <w:rPr>
          <w:rFonts w:cs="Arial"/>
        </w:rPr>
        <w:t>ESRs</w:t>
      </w:r>
      <w:r w:rsidR="00914B74">
        <w:rPr>
          <w:rFonts w:cs="Arial"/>
        </w:rPr>
        <w:t>)</w:t>
      </w:r>
      <w:r w:rsidR="006B4272">
        <w:rPr>
          <w:rFonts w:cs="Arial"/>
        </w:rPr>
        <w:t xml:space="preserve"> at all times</w:t>
      </w:r>
      <w:proofErr w:type="gramEnd"/>
      <w:r w:rsidR="006B4272">
        <w:rPr>
          <w:rFonts w:cs="Arial"/>
        </w:rPr>
        <w:t>, such that ESRs will not be required to hold excess energy for future Operating Hours, regardless of whether the ESR receives an Ancillary Service award for those hours. Eolian fully supports this modification</w:t>
      </w:r>
      <w:r w:rsidR="002B57A6">
        <w:rPr>
          <w:rFonts w:cs="Arial"/>
        </w:rPr>
        <w:t>.</w:t>
      </w:r>
      <w:r w:rsidR="00914B74">
        <w:rPr>
          <w:rFonts w:cs="Arial"/>
        </w:rPr>
        <w:t xml:space="preserve"> </w:t>
      </w:r>
      <w:r w:rsidR="002B57A6">
        <w:rPr>
          <w:rFonts w:cs="Arial"/>
        </w:rPr>
        <w:t xml:space="preserve">However, Eolian remains concerned </w:t>
      </w:r>
      <w:r w:rsidR="00361FEF">
        <w:rPr>
          <w:rFonts w:cs="Arial"/>
        </w:rPr>
        <w:t xml:space="preserve">that there </w:t>
      </w:r>
      <w:r w:rsidR="007E3ABB">
        <w:rPr>
          <w:rFonts w:cs="Arial"/>
        </w:rPr>
        <w:t xml:space="preserve">are </w:t>
      </w:r>
      <w:r w:rsidR="00361FEF">
        <w:rPr>
          <w:rFonts w:cs="Arial"/>
        </w:rPr>
        <w:t xml:space="preserve">still </w:t>
      </w:r>
      <w:proofErr w:type="gramStart"/>
      <w:r w:rsidR="007E3ABB">
        <w:rPr>
          <w:rFonts w:cs="Arial"/>
        </w:rPr>
        <w:t>a number of</w:t>
      </w:r>
      <w:proofErr w:type="gramEnd"/>
      <w:r w:rsidR="007E3ABB">
        <w:rPr>
          <w:rFonts w:cs="Arial"/>
        </w:rPr>
        <w:t xml:space="preserve"> unintended consequences from NPRR1186, even as further revised, which are likely </w:t>
      </w:r>
      <w:r w:rsidR="007C51AC">
        <w:rPr>
          <w:rFonts w:cs="Arial"/>
        </w:rPr>
        <w:t>to administratively limit access to energy held by ESRs in an ERCOT emergency</w:t>
      </w:r>
      <w:r w:rsidR="007E3ABB">
        <w:rPr>
          <w:rFonts w:cs="Arial"/>
        </w:rPr>
        <w:t xml:space="preserve"> and reduce the essential contributions made by ESRs due to their unique flexibility</w:t>
      </w:r>
      <w:r w:rsidR="00221E4B">
        <w:rPr>
          <w:rFonts w:cs="Arial"/>
        </w:rPr>
        <w:t>.</w:t>
      </w:r>
      <w:r w:rsidR="00914B74">
        <w:rPr>
          <w:rFonts w:cs="Arial"/>
        </w:rPr>
        <w:t xml:space="preserve"> </w:t>
      </w:r>
      <w:r w:rsidR="00CD28C3">
        <w:rPr>
          <w:rFonts w:cs="Arial"/>
        </w:rPr>
        <w:t>For example</w:t>
      </w:r>
      <w:r w:rsidR="00914B74">
        <w:rPr>
          <w:rFonts w:cs="Arial"/>
        </w:rPr>
        <w:t>, under the current version of NPRR1186</w:t>
      </w:r>
      <w:r w:rsidR="00CD28C3">
        <w:rPr>
          <w:rFonts w:cs="Arial"/>
        </w:rPr>
        <w:t>:</w:t>
      </w:r>
    </w:p>
    <w:p w14:paraId="52E1F9C9" w14:textId="1D60931A" w:rsidR="00CD28C3" w:rsidRDefault="0061075C" w:rsidP="00914B74">
      <w:pPr>
        <w:pStyle w:val="NormalArial"/>
        <w:numPr>
          <w:ilvl w:val="0"/>
          <w:numId w:val="15"/>
        </w:numPr>
        <w:spacing w:before="120" w:after="120"/>
        <w:jc w:val="both"/>
        <w:rPr>
          <w:rFonts w:cs="Arial"/>
        </w:rPr>
      </w:pPr>
      <w:r>
        <w:rPr>
          <w:rFonts w:cs="Arial"/>
        </w:rPr>
        <w:lastRenderedPageBreak/>
        <w:t xml:space="preserve">An ESR must maintain a </w:t>
      </w:r>
      <w:r w:rsidR="006E3C43">
        <w:rPr>
          <w:rFonts w:cs="Arial"/>
        </w:rPr>
        <w:t>S</w:t>
      </w:r>
      <w:r w:rsidR="00914B74">
        <w:rPr>
          <w:rFonts w:cs="Arial"/>
        </w:rPr>
        <w:t xml:space="preserve">tate of </w:t>
      </w:r>
      <w:r w:rsidR="006E3C43">
        <w:rPr>
          <w:rFonts w:cs="Arial"/>
        </w:rPr>
        <w:t>C</w:t>
      </w:r>
      <w:r w:rsidR="00914B74">
        <w:rPr>
          <w:rFonts w:cs="Arial"/>
        </w:rPr>
        <w:t>harge (SOC)</w:t>
      </w:r>
      <w:r>
        <w:rPr>
          <w:rFonts w:cs="Arial"/>
        </w:rPr>
        <w:t xml:space="preserve"> that slopes linearly from the top of the </w:t>
      </w:r>
      <w:r w:rsidR="00914B74">
        <w:rPr>
          <w:rFonts w:cs="Arial"/>
        </w:rPr>
        <w:t>Operating H</w:t>
      </w:r>
      <w:r>
        <w:rPr>
          <w:rFonts w:cs="Arial"/>
        </w:rPr>
        <w:t xml:space="preserve">our to </w:t>
      </w:r>
      <w:r w:rsidR="002E4F91">
        <w:rPr>
          <w:rFonts w:cs="Arial"/>
        </w:rPr>
        <w:t>0</w:t>
      </w:r>
      <w:r w:rsidR="00B968DE">
        <w:rPr>
          <w:rFonts w:cs="Arial"/>
        </w:rPr>
        <w:t xml:space="preserve"> MWh</w:t>
      </w:r>
      <w:r>
        <w:rPr>
          <w:rFonts w:cs="Arial"/>
        </w:rPr>
        <w:t>, which precludes flexible dispatch across all Ancillary Service produc</w:t>
      </w:r>
      <w:r>
        <w:rPr>
          <w:rFonts w:cs="Arial"/>
        </w:rPr>
        <w:t>ts</w:t>
      </w:r>
      <w:r w:rsidR="00914B74">
        <w:rPr>
          <w:rFonts w:cs="Arial"/>
        </w:rPr>
        <w:t>.</w:t>
      </w:r>
      <w:r>
        <w:rPr>
          <w:rFonts w:cs="Arial"/>
        </w:rPr>
        <w:t xml:space="preserve"> </w:t>
      </w:r>
    </w:p>
    <w:p w14:paraId="7EE66848" w14:textId="471DA2F7" w:rsidR="00CD28C3" w:rsidRDefault="0061075C" w:rsidP="00AE18AE">
      <w:pPr>
        <w:pStyle w:val="NormalArial"/>
        <w:numPr>
          <w:ilvl w:val="0"/>
          <w:numId w:val="15"/>
        </w:numPr>
        <w:spacing w:before="120"/>
        <w:jc w:val="both"/>
        <w:rPr>
          <w:rFonts w:cs="Arial"/>
        </w:rPr>
      </w:pPr>
      <w:r>
        <w:rPr>
          <w:rFonts w:cs="Arial"/>
        </w:rPr>
        <w:t xml:space="preserve">An ESR providing </w:t>
      </w:r>
      <w:r w:rsidR="006E3C43">
        <w:rPr>
          <w:rFonts w:cs="Arial"/>
        </w:rPr>
        <w:t>Regulation Up Service (</w:t>
      </w:r>
      <w:r>
        <w:rPr>
          <w:rFonts w:cs="Arial"/>
        </w:rPr>
        <w:t>Reg-Up</w:t>
      </w:r>
      <w:r w:rsidR="006E3C43">
        <w:rPr>
          <w:rFonts w:cs="Arial"/>
        </w:rPr>
        <w:t>)</w:t>
      </w:r>
      <w:r>
        <w:rPr>
          <w:rFonts w:cs="Arial"/>
        </w:rPr>
        <w:t xml:space="preserve"> and </w:t>
      </w:r>
      <w:r w:rsidR="006E3C43">
        <w:rPr>
          <w:rFonts w:cs="Arial"/>
        </w:rPr>
        <w:t>Regulation Down Service (</w:t>
      </w:r>
      <w:r>
        <w:rPr>
          <w:rFonts w:cs="Arial"/>
        </w:rPr>
        <w:t>Reg-Down</w:t>
      </w:r>
      <w:r w:rsidR="006E3C43">
        <w:rPr>
          <w:rFonts w:cs="Arial"/>
        </w:rPr>
        <w:t>)</w:t>
      </w:r>
      <w:r>
        <w:rPr>
          <w:rFonts w:cs="Arial"/>
        </w:rPr>
        <w:t xml:space="preserve"> in an </w:t>
      </w:r>
      <w:r w:rsidR="00914B74">
        <w:rPr>
          <w:rFonts w:cs="Arial"/>
        </w:rPr>
        <w:t>Operating H</w:t>
      </w:r>
      <w:r>
        <w:rPr>
          <w:rFonts w:cs="Arial"/>
        </w:rPr>
        <w:t>our would be required to have the maximum SOC it bid for the Reg-Up product, rather than operating at optimal flexibility with a lower SOC at the t</w:t>
      </w:r>
      <w:r>
        <w:rPr>
          <w:rFonts w:cs="Arial"/>
        </w:rPr>
        <w:t xml:space="preserve">op of an </w:t>
      </w:r>
      <w:r w:rsidR="00914B74">
        <w:rPr>
          <w:rFonts w:cs="Arial"/>
        </w:rPr>
        <w:t>Operating H</w:t>
      </w:r>
      <w:r>
        <w:rPr>
          <w:rFonts w:cs="Arial"/>
        </w:rPr>
        <w:t>our</w:t>
      </w:r>
      <w:r w:rsidR="00377DEC">
        <w:rPr>
          <w:rFonts w:cs="Arial"/>
        </w:rPr>
        <w:t>, which would allow it to act as a sponge to immediately charge and discharge as needed to maintain the stability of the grid.</w:t>
      </w:r>
      <w:r w:rsidR="00914B74">
        <w:rPr>
          <w:rFonts w:cs="Arial"/>
        </w:rPr>
        <w:t xml:space="preserve"> </w:t>
      </w:r>
      <w:r w:rsidR="00377DEC">
        <w:rPr>
          <w:rFonts w:cs="Arial"/>
        </w:rPr>
        <w:t xml:space="preserve">As </w:t>
      </w:r>
      <w:r w:rsidR="00914B74">
        <w:rPr>
          <w:rFonts w:cs="Arial"/>
        </w:rPr>
        <w:t xml:space="preserve">Mr. </w:t>
      </w:r>
      <w:r w:rsidR="00377DEC">
        <w:rPr>
          <w:rFonts w:cs="Arial"/>
        </w:rPr>
        <w:t xml:space="preserve">Rickerson noted in the ERCOT Board </w:t>
      </w:r>
      <w:r w:rsidR="00914B74">
        <w:rPr>
          <w:rFonts w:cs="Arial"/>
        </w:rPr>
        <w:t>m</w:t>
      </w:r>
      <w:r w:rsidR="00377DEC">
        <w:rPr>
          <w:rFonts w:cs="Arial"/>
        </w:rPr>
        <w:t>eeting on August 31, 2023, “</w:t>
      </w:r>
      <w:r w:rsidR="00377DEC" w:rsidRPr="00377DEC">
        <w:rPr>
          <w:rFonts w:cs="Arial"/>
        </w:rPr>
        <w:t xml:space="preserve">I would think </w:t>
      </w:r>
      <w:r w:rsidR="00914B74">
        <w:rPr>
          <w:rFonts w:cs="Arial"/>
        </w:rPr>
        <w:t>Reg-Up</w:t>
      </w:r>
      <w:r w:rsidR="00377DEC" w:rsidRPr="00377DEC">
        <w:rPr>
          <w:rFonts w:cs="Arial"/>
        </w:rPr>
        <w:t xml:space="preserve"> and </w:t>
      </w:r>
      <w:r w:rsidR="00914B74">
        <w:rPr>
          <w:rFonts w:cs="Arial"/>
        </w:rPr>
        <w:t>-D</w:t>
      </w:r>
      <w:r w:rsidR="00377DEC" w:rsidRPr="00377DEC">
        <w:rPr>
          <w:rFonts w:cs="Arial"/>
        </w:rPr>
        <w:t>own are</w:t>
      </w:r>
      <w:r w:rsidR="00914B74">
        <w:rPr>
          <w:rFonts w:cs="Arial"/>
        </w:rPr>
        <w:t>,</w:t>
      </w:r>
      <w:r w:rsidR="00377DEC" w:rsidRPr="00377DEC">
        <w:rPr>
          <w:rFonts w:cs="Arial"/>
        </w:rPr>
        <w:t xml:space="preserve"> like</w:t>
      </w:r>
      <w:r w:rsidR="003568E9">
        <w:rPr>
          <w:rFonts w:cs="Arial"/>
        </w:rPr>
        <w:t>,</w:t>
      </w:r>
      <w:r w:rsidR="00377DEC">
        <w:rPr>
          <w:rFonts w:cs="Arial"/>
        </w:rPr>
        <w:t xml:space="preserve"> </w:t>
      </w:r>
      <w:r w:rsidR="00377DEC" w:rsidRPr="00377DEC">
        <w:rPr>
          <w:rFonts w:cs="Arial"/>
        </w:rPr>
        <w:t>the batteries have an inherent advantage there because they're both a load and a generator and it's a one</w:t>
      </w:r>
      <w:r w:rsidR="00914B74">
        <w:rPr>
          <w:rFonts w:cs="Arial"/>
        </w:rPr>
        <w:t>-</w:t>
      </w:r>
      <w:r w:rsidR="00377DEC" w:rsidRPr="00377DEC">
        <w:rPr>
          <w:rFonts w:cs="Arial"/>
        </w:rPr>
        <w:t xml:space="preserve">hour product. I mean, they are </w:t>
      </w:r>
      <w:proofErr w:type="gramStart"/>
      <w:r w:rsidR="00377DEC" w:rsidRPr="00377DEC">
        <w:rPr>
          <w:rFonts w:cs="Arial"/>
        </w:rPr>
        <w:t>really custom</w:t>
      </w:r>
      <w:proofErr w:type="gramEnd"/>
      <w:r w:rsidR="00377DEC" w:rsidRPr="00377DEC">
        <w:rPr>
          <w:rFonts w:cs="Arial"/>
        </w:rPr>
        <w:t xml:space="preserve"> made for that Ancillary </w:t>
      </w:r>
      <w:r w:rsidR="00377DEC">
        <w:rPr>
          <w:rFonts w:cs="Arial"/>
        </w:rPr>
        <w:t>S</w:t>
      </w:r>
      <w:r w:rsidR="00377DEC" w:rsidRPr="00377DEC">
        <w:rPr>
          <w:rFonts w:cs="Arial"/>
        </w:rPr>
        <w:t>ervice</w:t>
      </w:r>
      <w:r w:rsidR="00377DEC">
        <w:rPr>
          <w:rFonts w:cs="Arial"/>
        </w:rPr>
        <w:t>.”</w:t>
      </w:r>
      <w:r w:rsidR="00914B74">
        <w:rPr>
          <w:rFonts w:cs="Arial"/>
        </w:rPr>
        <w:t xml:space="preserve"> </w:t>
      </w:r>
      <w:r w:rsidR="003568E9">
        <w:rPr>
          <w:rFonts w:cs="Arial"/>
        </w:rPr>
        <w:t xml:space="preserve">However, </w:t>
      </w:r>
      <w:r w:rsidR="00377DEC">
        <w:rPr>
          <w:rFonts w:cs="Arial"/>
        </w:rPr>
        <w:t xml:space="preserve">NPRR1186 will limit </w:t>
      </w:r>
      <w:r w:rsidR="00914B74">
        <w:rPr>
          <w:rFonts w:cs="Arial"/>
        </w:rPr>
        <w:t xml:space="preserve">that </w:t>
      </w:r>
      <w:r w:rsidR="00377DEC">
        <w:rPr>
          <w:rFonts w:cs="Arial"/>
        </w:rPr>
        <w:t>flexibility.</w:t>
      </w:r>
    </w:p>
    <w:p w14:paraId="47719354" w14:textId="77777777" w:rsidR="005964E5" w:rsidRDefault="005964E5" w:rsidP="006B1026">
      <w:pPr>
        <w:pStyle w:val="NormalArial"/>
        <w:jc w:val="both"/>
        <w:rPr>
          <w:rFonts w:cs="Arial"/>
        </w:rPr>
      </w:pPr>
    </w:p>
    <w:p w14:paraId="260E4B08" w14:textId="4BF46F45" w:rsidR="00136F57" w:rsidRDefault="0061075C" w:rsidP="006B1026">
      <w:pPr>
        <w:pStyle w:val="NormalArial"/>
        <w:jc w:val="both"/>
        <w:rPr>
          <w:rFonts w:cs="Arial"/>
        </w:rPr>
      </w:pPr>
      <w:r>
        <w:rPr>
          <w:rFonts w:cs="Arial"/>
        </w:rPr>
        <w:t>Moreover</w:t>
      </w:r>
      <w:r w:rsidR="00127B9C">
        <w:rPr>
          <w:rFonts w:cs="Arial"/>
        </w:rPr>
        <w:t xml:space="preserve">, Eolian remains concerned </w:t>
      </w:r>
      <w:r w:rsidR="002B57A6">
        <w:rPr>
          <w:rFonts w:cs="Arial"/>
        </w:rPr>
        <w:t xml:space="preserve">that </w:t>
      </w:r>
      <w:r w:rsidR="006B4272" w:rsidRPr="006B4272">
        <w:rPr>
          <w:rFonts w:cs="Arial"/>
        </w:rPr>
        <w:t>ERCOT’s comments make its intent</w:t>
      </w:r>
      <w:r>
        <w:rPr>
          <w:rFonts w:cs="Arial"/>
        </w:rPr>
        <w:t xml:space="preserve"> clear: </w:t>
      </w:r>
      <w:r w:rsidRPr="00330A21">
        <w:rPr>
          <w:rFonts w:cs="Arial"/>
          <w:u w:val="single"/>
        </w:rPr>
        <w:t xml:space="preserve">ERCOT will </w:t>
      </w:r>
      <w:r w:rsidR="006B4272" w:rsidRPr="00330A21">
        <w:rPr>
          <w:rFonts w:cs="Arial"/>
          <w:u w:val="single"/>
        </w:rPr>
        <w:t xml:space="preserve">continue to devalue </w:t>
      </w:r>
      <w:r w:rsidRPr="00330A21">
        <w:rPr>
          <w:rFonts w:cs="Arial"/>
          <w:u w:val="single"/>
        </w:rPr>
        <w:t>and limit ESR</w:t>
      </w:r>
      <w:r w:rsidR="006B4272" w:rsidRPr="00330A21">
        <w:rPr>
          <w:rFonts w:cs="Arial"/>
          <w:u w:val="single"/>
        </w:rPr>
        <w:t xml:space="preserve"> participation in </w:t>
      </w:r>
      <w:r w:rsidRPr="00330A21">
        <w:rPr>
          <w:rFonts w:cs="Arial"/>
          <w:u w:val="single"/>
        </w:rPr>
        <w:t>the ERCOT Ancillary Service market in disregard of</w:t>
      </w:r>
      <w:r w:rsidR="006B4272" w:rsidRPr="00330A21">
        <w:rPr>
          <w:rFonts w:cs="Arial"/>
          <w:u w:val="single"/>
        </w:rPr>
        <w:t xml:space="preserve"> Texas law</w:t>
      </w:r>
      <w:r w:rsidR="006B4272" w:rsidRPr="006B4272">
        <w:rPr>
          <w:rFonts w:cs="Arial"/>
        </w:rPr>
        <w:t xml:space="preserve">. </w:t>
      </w:r>
    </w:p>
    <w:p w14:paraId="676D3E06" w14:textId="77777777" w:rsidR="00136F57" w:rsidRDefault="00136F57" w:rsidP="006B1026">
      <w:pPr>
        <w:pStyle w:val="NormalArial"/>
        <w:jc w:val="both"/>
        <w:rPr>
          <w:rFonts w:cs="Arial"/>
        </w:rPr>
      </w:pPr>
    </w:p>
    <w:p w14:paraId="136D5F93" w14:textId="0D6143A8" w:rsidR="006B4272" w:rsidRPr="006B4272" w:rsidRDefault="0061075C" w:rsidP="006B1026">
      <w:pPr>
        <w:pStyle w:val="NormalArial"/>
        <w:jc w:val="both"/>
        <w:rPr>
          <w:rFonts w:cs="Arial"/>
        </w:rPr>
      </w:pPr>
      <w:r w:rsidRPr="006B4272">
        <w:rPr>
          <w:rFonts w:cs="Arial"/>
        </w:rPr>
        <w:t xml:space="preserve">Specifically, ERCOT states: </w:t>
      </w:r>
    </w:p>
    <w:p w14:paraId="5CEA74CE" w14:textId="298FEA50" w:rsidR="006B4272" w:rsidRPr="006B4272" w:rsidRDefault="006B4272" w:rsidP="006B1026">
      <w:pPr>
        <w:pStyle w:val="NormalArial"/>
        <w:jc w:val="both"/>
        <w:rPr>
          <w:rFonts w:cs="Arial"/>
        </w:rPr>
      </w:pPr>
    </w:p>
    <w:p w14:paraId="111CD2FC" w14:textId="4632465C" w:rsidR="006B4272" w:rsidRPr="00AE18AE" w:rsidRDefault="0061075C" w:rsidP="0086451E">
      <w:pPr>
        <w:pStyle w:val="NormalArial"/>
        <w:ind w:left="1440" w:right="1440"/>
        <w:jc w:val="both"/>
        <w:rPr>
          <w:rFonts w:cs="Arial"/>
          <w:sz w:val="22"/>
          <w:szCs w:val="22"/>
        </w:rPr>
      </w:pPr>
      <w:r w:rsidRPr="00AE18AE">
        <w:rPr>
          <w:rFonts w:cs="Arial"/>
          <w:sz w:val="22"/>
          <w:szCs w:val="22"/>
        </w:rPr>
        <w:t xml:space="preserve">… Most importantly, ERCOT will need </w:t>
      </w:r>
      <w:r w:rsidRPr="00AE18AE">
        <w:rPr>
          <w:rFonts w:cs="Arial"/>
          <w:b/>
          <w:bCs/>
          <w:sz w:val="22"/>
          <w:szCs w:val="22"/>
        </w:rPr>
        <w:t xml:space="preserve">stronger compliance and financial penalties for </w:t>
      </w:r>
      <w:r w:rsidRPr="00AE18AE">
        <w:rPr>
          <w:rFonts w:cs="Arial"/>
          <w:sz w:val="22"/>
          <w:szCs w:val="22"/>
        </w:rPr>
        <w:t>QSEs representing</w:t>
      </w:r>
      <w:r w:rsidRPr="00AE18AE">
        <w:rPr>
          <w:rFonts w:cs="Arial"/>
          <w:b/>
          <w:bCs/>
          <w:sz w:val="22"/>
          <w:szCs w:val="22"/>
        </w:rPr>
        <w:t xml:space="preserve"> ESRs</w:t>
      </w:r>
      <w:r w:rsidRPr="00AE18AE">
        <w:rPr>
          <w:rFonts w:cs="Arial"/>
          <w:sz w:val="22"/>
          <w:szCs w:val="22"/>
        </w:rPr>
        <w:t xml:space="preserve"> in the form of [(1)] </w:t>
      </w:r>
      <w:r w:rsidRPr="00AE18AE">
        <w:rPr>
          <w:rFonts w:cs="Arial"/>
          <w:b/>
          <w:bCs/>
          <w:sz w:val="22"/>
          <w:szCs w:val="22"/>
        </w:rPr>
        <w:t>charges</w:t>
      </w:r>
      <w:r w:rsidRPr="00AE18AE">
        <w:rPr>
          <w:rFonts w:cs="Arial"/>
          <w:sz w:val="22"/>
          <w:szCs w:val="22"/>
        </w:rPr>
        <w:t xml:space="preserve"> </w:t>
      </w:r>
      <w:r w:rsidRPr="00AE18AE">
        <w:rPr>
          <w:rFonts w:cs="Arial"/>
          <w:sz w:val="22"/>
          <w:szCs w:val="22"/>
          <w:u w:val="single"/>
        </w:rPr>
        <w:t>for failures to provide</w:t>
      </w:r>
      <w:r w:rsidRPr="00AE18AE">
        <w:rPr>
          <w:rFonts w:cs="Arial"/>
          <w:sz w:val="22"/>
          <w:szCs w:val="22"/>
        </w:rPr>
        <w:t xml:space="preserve"> that are </w:t>
      </w:r>
      <w:r w:rsidRPr="00AE18AE">
        <w:rPr>
          <w:rFonts w:cs="Arial"/>
          <w:b/>
          <w:bCs/>
          <w:sz w:val="22"/>
          <w:szCs w:val="22"/>
        </w:rPr>
        <w:t>automatically imposed</w:t>
      </w:r>
      <w:r w:rsidRPr="00AE18AE">
        <w:rPr>
          <w:rFonts w:cs="Arial"/>
          <w:sz w:val="22"/>
          <w:szCs w:val="22"/>
        </w:rPr>
        <w:t xml:space="preserve"> </w:t>
      </w:r>
      <w:r w:rsidRPr="00AE18AE">
        <w:rPr>
          <w:rFonts w:cs="Arial"/>
          <w:sz w:val="22"/>
          <w:szCs w:val="22"/>
          <w:u w:val="single"/>
        </w:rPr>
        <w:t>when… SOC requirements are [not met]</w:t>
      </w:r>
      <w:r w:rsidRPr="00AE18AE">
        <w:rPr>
          <w:rFonts w:cs="Arial"/>
          <w:sz w:val="22"/>
          <w:szCs w:val="22"/>
        </w:rPr>
        <w:t xml:space="preserve"> and [(2)] </w:t>
      </w:r>
      <w:bookmarkStart w:id="0" w:name="OLE_LINK24"/>
      <w:r w:rsidRPr="00AE18AE">
        <w:rPr>
          <w:rFonts w:cs="Arial"/>
          <w:b/>
          <w:bCs/>
          <w:sz w:val="22"/>
          <w:szCs w:val="22"/>
        </w:rPr>
        <w:t>requirements to di</w:t>
      </w:r>
      <w:r w:rsidRPr="00AE18AE">
        <w:rPr>
          <w:rFonts w:cs="Arial"/>
          <w:b/>
          <w:bCs/>
          <w:sz w:val="22"/>
          <w:szCs w:val="22"/>
        </w:rPr>
        <w:t>squalify</w:t>
      </w:r>
      <w:r w:rsidRPr="00AE18AE">
        <w:rPr>
          <w:rFonts w:cs="Arial"/>
          <w:sz w:val="22"/>
          <w:szCs w:val="22"/>
        </w:rPr>
        <w:t xml:space="preserve"> </w:t>
      </w:r>
      <w:r w:rsidRPr="00AE18AE">
        <w:rPr>
          <w:rFonts w:cs="Arial"/>
          <w:sz w:val="22"/>
          <w:szCs w:val="22"/>
          <w:u w:val="single"/>
        </w:rPr>
        <w:t>[ESRs] for</w:t>
      </w:r>
      <w:r w:rsidRPr="00AE18AE">
        <w:rPr>
          <w:rFonts w:cs="Arial"/>
          <w:sz w:val="22"/>
          <w:szCs w:val="22"/>
        </w:rPr>
        <w:t xml:space="preserve"> [(a)] </w:t>
      </w:r>
      <w:r w:rsidRPr="00AE18AE">
        <w:rPr>
          <w:rFonts w:cs="Arial"/>
          <w:sz w:val="22"/>
          <w:szCs w:val="22"/>
          <w:u w:val="single"/>
        </w:rPr>
        <w:t>repeated failures to perform</w:t>
      </w:r>
      <w:r w:rsidRPr="00AE18AE">
        <w:rPr>
          <w:rFonts w:cs="Arial"/>
          <w:sz w:val="22"/>
          <w:szCs w:val="22"/>
        </w:rPr>
        <w:t xml:space="preserve"> and/or [(b)] </w:t>
      </w:r>
      <w:bookmarkStart w:id="1" w:name="OLE_LINK25"/>
      <w:r w:rsidRPr="00AE18AE">
        <w:rPr>
          <w:rFonts w:cs="Arial"/>
          <w:sz w:val="22"/>
          <w:szCs w:val="22"/>
          <w:u w:val="single"/>
        </w:rPr>
        <w:t xml:space="preserve">failures to perform during energy emergencies </w:t>
      </w:r>
      <w:r w:rsidRPr="00AE18AE">
        <w:rPr>
          <w:rFonts w:cs="Arial"/>
          <w:i/>
          <w:iCs/>
          <w:sz w:val="22"/>
          <w:szCs w:val="22"/>
          <w:u w:val="single"/>
        </w:rPr>
        <w:t>and</w:t>
      </w:r>
      <w:r w:rsidRPr="00AE18AE">
        <w:rPr>
          <w:rFonts w:cs="Arial"/>
          <w:sz w:val="22"/>
          <w:szCs w:val="22"/>
          <w:u w:val="single"/>
        </w:rPr>
        <w:t xml:space="preserve"> other significant grid events</w:t>
      </w:r>
      <w:bookmarkEnd w:id="0"/>
      <w:bookmarkEnd w:id="1"/>
      <w:r w:rsidRPr="00AE18AE">
        <w:rPr>
          <w:rFonts w:cs="Arial"/>
          <w:sz w:val="22"/>
          <w:szCs w:val="22"/>
        </w:rPr>
        <w:t>. ERCOT intends to seek the Board’s direction to pursue these changes as Board Priority NPRRs</w:t>
      </w:r>
      <w:bookmarkStart w:id="2" w:name="OLE_LINK36"/>
      <w:bookmarkStart w:id="3" w:name="OLE_LINK34"/>
      <w:r w:rsidR="0086451E" w:rsidRPr="00AE18AE">
        <w:rPr>
          <w:rFonts w:cs="Arial"/>
          <w:sz w:val="22"/>
          <w:szCs w:val="22"/>
        </w:rPr>
        <w:t xml:space="preserve"> (emphasis added).</w:t>
      </w:r>
      <w:r>
        <w:rPr>
          <w:rStyle w:val="FootnoteReference"/>
          <w:rFonts w:cs="Arial"/>
          <w:sz w:val="22"/>
          <w:szCs w:val="22"/>
        </w:rPr>
        <w:footnoteReference w:id="2"/>
      </w:r>
      <w:bookmarkEnd w:id="2"/>
    </w:p>
    <w:p w14:paraId="319C5E39" w14:textId="56D779FC" w:rsidR="006B4272" w:rsidRDefault="006B4272" w:rsidP="006B1026">
      <w:pPr>
        <w:pStyle w:val="NormalArial"/>
        <w:jc w:val="both"/>
        <w:rPr>
          <w:rFonts w:cs="Arial"/>
          <w:color w:val="FF0000"/>
        </w:rPr>
      </w:pPr>
      <w:bookmarkStart w:id="5" w:name="OLE_LINK30"/>
      <w:bookmarkEnd w:id="3"/>
    </w:p>
    <w:p w14:paraId="41310B0D" w14:textId="371382EA" w:rsidR="00136F57" w:rsidRDefault="0061075C" w:rsidP="006B1026">
      <w:pPr>
        <w:pStyle w:val="NormalArial"/>
        <w:jc w:val="both"/>
        <w:rPr>
          <w:rFonts w:cs="Arial"/>
        </w:rPr>
      </w:pPr>
      <w:r>
        <w:rPr>
          <w:rFonts w:cs="Arial"/>
        </w:rPr>
        <w:t>In relevant part, the Public Utility Regulatory Act (PURA) provides:</w:t>
      </w:r>
    </w:p>
    <w:p w14:paraId="2C2180CA" w14:textId="1C569F26" w:rsidR="00136F57" w:rsidRDefault="00136F57" w:rsidP="00136F57">
      <w:pPr>
        <w:pStyle w:val="NormalArial"/>
        <w:ind w:left="720"/>
        <w:jc w:val="both"/>
        <w:rPr>
          <w:rFonts w:cs="Arial"/>
        </w:rPr>
      </w:pPr>
    </w:p>
    <w:p w14:paraId="1829B6A9" w14:textId="2C360142" w:rsidR="00136F57" w:rsidRPr="00330A21" w:rsidRDefault="0061075C" w:rsidP="00136F57">
      <w:pPr>
        <w:pStyle w:val="NormalArial"/>
        <w:ind w:left="1440" w:hanging="720"/>
        <w:jc w:val="both"/>
        <w:rPr>
          <w:rFonts w:cs="Arial"/>
          <w:u w:val="single"/>
        </w:rPr>
      </w:pPr>
      <w:bookmarkStart w:id="6" w:name="OLE_LINK32"/>
      <w:r w:rsidRPr="00330A21">
        <w:rPr>
          <w:rFonts w:cs="Arial"/>
          <w:u w:val="single"/>
        </w:rPr>
        <w:t>PURA Section 35.004</w:t>
      </w:r>
    </w:p>
    <w:p w14:paraId="2EDAFCB2" w14:textId="77777777" w:rsidR="00136F57" w:rsidRDefault="00136F57" w:rsidP="00136F57">
      <w:pPr>
        <w:pStyle w:val="NormalArial"/>
        <w:ind w:left="1440" w:hanging="720"/>
        <w:jc w:val="both"/>
        <w:rPr>
          <w:rFonts w:cs="Arial"/>
        </w:rPr>
      </w:pPr>
    </w:p>
    <w:p w14:paraId="7BF5EE7C" w14:textId="674414AA" w:rsidR="00136F57" w:rsidRDefault="0061075C" w:rsidP="003A3F27">
      <w:pPr>
        <w:pStyle w:val="NormalArial"/>
        <w:ind w:left="1440" w:right="720" w:hanging="720"/>
        <w:jc w:val="both"/>
        <w:rPr>
          <w:rFonts w:cs="Arial"/>
        </w:rPr>
      </w:pPr>
      <w:r w:rsidRPr="00136F57">
        <w:rPr>
          <w:rFonts w:cs="Arial"/>
        </w:rPr>
        <w:t xml:space="preserve">(e) </w:t>
      </w:r>
      <w:r w:rsidRPr="00136F57">
        <w:rPr>
          <w:rFonts w:cs="Arial"/>
        </w:rPr>
        <w:tab/>
        <w:t xml:space="preserve">In this section, </w:t>
      </w:r>
      <w:r w:rsidR="0068169A">
        <w:rPr>
          <w:rFonts w:cs="Arial"/>
        </w:rPr>
        <w:t>“</w:t>
      </w:r>
      <w:r w:rsidRPr="00136F57">
        <w:rPr>
          <w:rFonts w:cs="Arial"/>
        </w:rPr>
        <w:t>ancillary services</w:t>
      </w:r>
      <w:r w:rsidR="0068169A">
        <w:rPr>
          <w:rFonts w:cs="Arial"/>
        </w:rPr>
        <w:t xml:space="preserve">” </w:t>
      </w:r>
      <w:r w:rsidRPr="00136F57">
        <w:rPr>
          <w:rFonts w:cs="Arial"/>
        </w:rPr>
        <w:t>means services necessary to facilitate the transmission of electric energy including load following,</w:t>
      </w:r>
      <w:r w:rsidRPr="00136F57">
        <w:rPr>
          <w:rFonts w:cs="Arial"/>
        </w:rPr>
        <w:t xml:space="preserve"> standby power, backup power, reactive power, and any other services as the commission may determine by rule. </w:t>
      </w:r>
    </w:p>
    <w:p w14:paraId="59E1F5F4" w14:textId="77777777" w:rsidR="00136F57" w:rsidRPr="00136F57" w:rsidRDefault="00136F57" w:rsidP="003A3F27">
      <w:pPr>
        <w:pStyle w:val="NormalArial"/>
        <w:ind w:left="1440" w:right="720" w:hanging="720"/>
        <w:jc w:val="both"/>
        <w:rPr>
          <w:rFonts w:cs="Arial"/>
        </w:rPr>
      </w:pPr>
    </w:p>
    <w:bookmarkEnd w:id="6"/>
    <w:p w14:paraId="24CAF8AB" w14:textId="47401A88" w:rsidR="00136F57" w:rsidRDefault="0061075C" w:rsidP="003A3F27">
      <w:pPr>
        <w:pStyle w:val="NormalArial"/>
        <w:ind w:left="1440" w:right="720" w:hanging="720"/>
        <w:jc w:val="both"/>
        <w:rPr>
          <w:rFonts w:cs="Arial"/>
        </w:rPr>
      </w:pPr>
      <w:r w:rsidRPr="00136F57">
        <w:rPr>
          <w:rFonts w:cs="Arial"/>
        </w:rPr>
        <w:t xml:space="preserve">(f) </w:t>
      </w:r>
      <w:r w:rsidRPr="00136F57">
        <w:rPr>
          <w:rFonts w:cs="Arial"/>
        </w:rPr>
        <w:tab/>
        <w:t xml:space="preserve">The </w:t>
      </w:r>
      <w:r w:rsidRPr="00136F57">
        <w:rPr>
          <w:rFonts w:cs="Arial"/>
          <w:b/>
          <w:bCs/>
        </w:rPr>
        <w:t xml:space="preserve">commission shall ensure that ancillary services </w:t>
      </w:r>
      <w:r w:rsidRPr="00136F57">
        <w:rPr>
          <w:rFonts w:cs="Arial"/>
        </w:rPr>
        <w:t>necessary to facilitate the transmission of electric energy are available at reasonable</w:t>
      </w:r>
      <w:r w:rsidRPr="00136F57">
        <w:rPr>
          <w:rFonts w:cs="Arial"/>
        </w:rPr>
        <w:t xml:space="preserve"> prices with terms and conditions that </w:t>
      </w:r>
      <w:r w:rsidRPr="00136F57">
        <w:rPr>
          <w:rFonts w:cs="Arial"/>
          <w:b/>
          <w:bCs/>
        </w:rPr>
        <w:t>are not unreasonably preferential, prejudicial, discriminatory, predatory, or anticompetitive</w:t>
      </w:r>
      <w:r w:rsidRPr="00136F57">
        <w:rPr>
          <w:rFonts w:cs="Arial"/>
        </w:rPr>
        <w:t xml:space="preserve">. On the introduction of customer </w:t>
      </w:r>
      <w:r w:rsidRPr="00136F57">
        <w:rPr>
          <w:rFonts w:cs="Arial"/>
        </w:rPr>
        <w:lastRenderedPageBreak/>
        <w:t xml:space="preserve">choice in the ERCOT power region, acquisition of generation-related ancillary services on </w:t>
      </w:r>
      <w:r w:rsidRPr="00136F57">
        <w:rPr>
          <w:rFonts w:cs="Arial"/>
        </w:rPr>
        <w:t xml:space="preserve">a nondiscriminatory basis by the independent organization in ERCOT on behalf of entities selling electricity at retail shall be deemed to meet the requirements of this subsection. </w:t>
      </w:r>
    </w:p>
    <w:p w14:paraId="0146AC20" w14:textId="77777777" w:rsidR="0068169A" w:rsidRPr="00136F57" w:rsidRDefault="0068169A" w:rsidP="003A3F27">
      <w:pPr>
        <w:pStyle w:val="NormalArial"/>
        <w:ind w:left="1440" w:right="720" w:hanging="720"/>
        <w:jc w:val="both"/>
        <w:rPr>
          <w:rFonts w:cs="Arial"/>
        </w:rPr>
      </w:pPr>
    </w:p>
    <w:p w14:paraId="19B28812" w14:textId="77777777" w:rsidR="00136F57" w:rsidRPr="00136F57" w:rsidRDefault="0061075C" w:rsidP="003A3F27">
      <w:pPr>
        <w:pStyle w:val="NormalArial"/>
        <w:ind w:left="1440" w:right="720" w:hanging="720"/>
        <w:jc w:val="both"/>
        <w:rPr>
          <w:rFonts w:cs="Arial"/>
        </w:rPr>
      </w:pPr>
      <w:r w:rsidRPr="00136F57">
        <w:rPr>
          <w:rFonts w:cs="Arial"/>
        </w:rPr>
        <w:t xml:space="preserve">(h) </w:t>
      </w:r>
      <w:r w:rsidRPr="00136F57">
        <w:rPr>
          <w:rFonts w:cs="Arial"/>
        </w:rPr>
        <w:tab/>
        <w:t xml:space="preserve">The </w:t>
      </w:r>
      <w:r w:rsidRPr="00136F57">
        <w:rPr>
          <w:rFonts w:cs="Arial"/>
          <w:b/>
          <w:bCs/>
        </w:rPr>
        <w:t>commission shall require [ERCOT] to modify the design, procuremen</w:t>
      </w:r>
      <w:r w:rsidRPr="00136F57">
        <w:rPr>
          <w:rFonts w:cs="Arial"/>
          <w:b/>
          <w:bCs/>
        </w:rPr>
        <w:t>t, and cost allocation of ancillary services</w:t>
      </w:r>
      <w:r w:rsidRPr="00136F57">
        <w:rPr>
          <w:rFonts w:cs="Arial"/>
        </w:rPr>
        <w:t xml:space="preserve"> for the region in a manner consistent with cost-causation principles and </w:t>
      </w:r>
      <w:r w:rsidRPr="00136F57">
        <w:rPr>
          <w:rFonts w:cs="Arial"/>
          <w:b/>
          <w:bCs/>
        </w:rPr>
        <w:t>on a nondiscriminatory basis</w:t>
      </w:r>
      <w:r w:rsidRPr="00136F57">
        <w:rPr>
          <w:rFonts w:cs="Arial"/>
        </w:rPr>
        <w:t>.</w:t>
      </w:r>
    </w:p>
    <w:p w14:paraId="738EE09D" w14:textId="77777777" w:rsidR="00136F57" w:rsidRDefault="00136F57" w:rsidP="00136F57">
      <w:pPr>
        <w:pStyle w:val="NormalArial"/>
        <w:ind w:left="720" w:hanging="720"/>
        <w:jc w:val="both"/>
        <w:rPr>
          <w:rFonts w:cs="Arial"/>
          <w:b/>
          <w:bCs/>
        </w:rPr>
      </w:pPr>
    </w:p>
    <w:p w14:paraId="2A38FA72" w14:textId="77777777" w:rsidR="00136F57" w:rsidRPr="00330A21" w:rsidRDefault="0061075C" w:rsidP="00136F57">
      <w:pPr>
        <w:pStyle w:val="NormalArial"/>
        <w:ind w:left="1440" w:hanging="720"/>
        <w:jc w:val="both"/>
        <w:rPr>
          <w:rFonts w:cs="Arial"/>
          <w:u w:val="single"/>
        </w:rPr>
      </w:pPr>
      <w:r w:rsidRPr="00330A21">
        <w:rPr>
          <w:rFonts w:cs="Arial"/>
          <w:u w:val="single"/>
        </w:rPr>
        <w:t>PURA Section 39.151</w:t>
      </w:r>
    </w:p>
    <w:p w14:paraId="711AED1B" w14:textId="16287C65" w:rsidR="00136F57" w:rsidRPr="00136F57" w:rsidRDefault="0061075C" w:rsidP="003A3F27">
      <w:pPr>
        <w:pStyle w:val="NormalArial"/>
        <w:ind w:left="1440" w:right="720" w:hanging="720"/>
        <w:jc w:val="both"/>
        <w:rPr>
          <w:rFonts w:cs="Arial"/>
        </w:rPr>
      </w:pPr>
      <w:r w:rsidRPr="00136F57">
        <w:rPr>
          <w:rFonts w:cs="Arial"/>
        </w:rPr>
        <w:t xml:space="preserve"> </w:t>
      </w:r>
    </w:p>
    <w:p w14:paraId="31072B75" w14:textId="77777777" w:rsidR="00136F57" w:rsidRPr="00136F57" w:rsidRDefault="0061075C" w:rsidP="003A3F27">
      <w:pPr>
        <w:pStyle w:val="NormalArial"/>
        <w:ind w:left="1440" w:right="720" w:hanging="720"/>
        <w:jc w:val="both"/>
        <w:rPr>
          <w:rFonts w:cs="Arial"/>
        </w:rPr>
      </w:pPr>
      <w:r w:rsidRPr="00136F57">
        <w:rPr>
          <w:rFonts w:cs="Arial"/>
        </w:rPr>
        <w:t xml:space="preserve">(a) </w:t>
      </w:r>
      <w:r w:rsidRPr="00136F57">
        <w:rPr>
          <w:rFonts w:cs="Arial"/>
        </w:rPr>
        <w:tab/>
        <w:t>A power region must establish one or more independent organizations to perform t</w:t>
      </w:r>
      <w:r w:rsidRPr="00136F57">
        <w:rPr>
          <w:rFonts w:cs="Arial"/>
        </w:rPr>
        <w:t xml:space="preserve">he following functions: </w:t>
      </w:r>
    </w:p>
    <w:p w14:paraId="21AAE436" w14:textId="77777777" w:rsidR="00136F57" w:rsidRDefault="00136F57" w:rsidP="00136F57">
      <w:pPr>
        <w:pStyle w:val="NormalArial"/>
        <w:ind w:left="1440" w:hanging="720"/>
        <w:jc w:val="both"/>
        <w:rPr>
          <w:rFonts w:cs="Arial"/>
        </w:rPr>
      </w:pPr>
    </w:p>
    <w:p w14:paraId="7B1AEAB6" w14:textId="7667BD35" w:rsidR="00136F57" w:rsidRPr="00136F57" w:rsidRDefault="0061075C" w:rsidP="003A3F27">
      <w:pPr>
        <w:pStyle w:val="NormalArial"/>
        <w:ind w:left="2160" w:right="720" w:hanging="720"/>
        <w:jc w:val="both"/>
        <w:rPr>
          <w:rFonts w:cs="Arial"/>
        </w:rPr>
      </w:pPr>
      <w:r w:rsidRPr="00136F57">
        <w:rPr>
          <w:rFonts w:cs="Arial"/>
        </w:rPr>
        <w:t xml:space="preserve">(1) </w:t>
      </w:r>
      <w:r w:rsidRPr="00136F57">
        <w:rPr>
          <w:rFonts w:cs="Arial"/>
        </w:rPr>
        <w:tab/>
      </w:r>
      <w:r w:rsidRPr="00136F57">
        <w:rPr>
          <w:rFonts w:cs="Arial"/>
          <w:b/>
          <w:bCs/>
        </w:rPr>
        <w:t>[ERCOT shall] ensure access</w:t>
      </w:r>
      <w:r w:rsidRPr="00136F57">
        <w:rPr>
          <w:rFonts w:cs="Arial"/>
        </w:rPr>
        <w:t xml:space="preserve"> to the transmission and distribution systems </w:t>
      </w:r>
      <w:r w:rsidRPr="00136F57">
        <w:rPr>
          <w:rFonts w:cs="Arial"/>
          <w:b/>
          <w:bCs/>
        </w:rPr>
        <w:t>for all buyers and sellers of electricity on nondiscriminatory terms</w:t>
      </w:r>
      <w:r>
        <w:rPr>
          <w:rFonts w:cs="Arial"/>
        </w:rPr>
        <w:t>.</w:t>
      </w:r>
    </w:p>
    <w:p w14:paraId="42243F82" w14:textId="77777777" w:rsidR="00136F57" w:rsidRDefault="00136F57" w:rsidP="006B1026">
      <w:pPr>
        <w:pStyle w:val="NormalArial"/>
        <w:jc w:val="both"/>
        <w:rPr>
          <w:rFonts w:cs="Arial"/>
        </w:rPr>
      </w:pPr>
    </w:p>
    <w:p w14:paraId="762491FE" w14:textId="77777777" w:rsidR="00AE18AE" w:rsidRDefault="00AE18AE" w:rsidP="00914B74">
      <w:pPr>
        <w:pStyle w:val="NormalArial"/>
        <w:jc w:val="both"/>
        <w:rPr>
          <w:rFonts w:cs="Arial"/>
          <w:b/>
          <w:bCs/>
          <w:u w:val="single"/>
        </w:rPr>
      </w:pPr>
      <w:bookmarkStart w:id="7" w:name="OLE_LINK41"/>
      <w:bookmarkEnd w:id="5"/>
    </w:p>
    <w:p w14:paraId="7D7C5CE1" w14:textId="6FB7B841" w:rsidR="00330A21" w:rsidRDefault="0061075C" w:rsidP="00914B74">
      <w:pPr>
        <w:pStyle w:val="NormalArial"/>
        <w:jc w:val="both"/>
        <w:rPr>
          <w:rFonts w:cs="Arial"/>
        </w:rPr>
      </w:pPr>
      <w:r w:rsidRPr="00136F57">
        <w:rPr>
          <w:rFonts w:cs="Arial"/>
          <w:b/>
          <w:bCs/>
          <w:u w:val="single"/>
        </w:rPr>
        <w:t>Automatic Failure to Provide Charges</w:t>
      </w:r>
      <w:r w:rsidR="00914B74">
        <w:rPr>
          <w:rFonts w:cs="Arial"/>
        </w:rPr>
        <w:t xml:space="preserve"> </w:t>
      </w:r>
    </w:p>
    <w:p w14:paraId="2DC42DD0" w14:textId="0F319DB8" w:rsidR="00914B74" w:rsidRPr="00000054" w:rsidRDefault="0061075C" w:rsidP="00330A21">
      <w:pPr>
        <w:pStyle w:val="NormalArial"/>
        <w:spacing w:before="60"/>
        <w:jc w:val="both"/>
      </w:pPr>
      <w:r>
        <w:t>(</w:t>
      </w:r>
      <w:r w:rsidRPr="00914B74">
        <w:t>ERCOT-Proposed Board Priority NPRR</w:t>
      </w:r>
      <w:r>
        <w:t>)</w:t>
      </w:r>
    </w:p>
    <w:bookmarkEnd w:id="7"/>
    <w:p w14:paraId="1F412E06" w14:textId="77777777" w:rsidR="006B4272" w:rsidRDefault="006B4272" w:rsidP="006B1026">
      <w:pPr>
        <w:pStyle w:val="NormalArial"/>
        <w:jc w:val="both"/>
        <w:rPr>
          <w:rFonts w:cs="Arial"/>
          <w:u w:val="single"/>
        </w:rPr>
      </w:pPr>
    </w:p>
    <w:p w14:paraId="2CF7F67A" w14:textId="3338E578" w:rsidR="006B4272" w:rsidRDefault="0061075C" w:rsidP="006B1026">
      <w:pPr>
        <w:pStyle w:val="NormalArial"/>
        <w:jc w:val="both"/>
      </w:pPr>
      <w:r>
        <w:rPr>
          <w:rFonts w:cs="Arial"/>
        </w:rPr>
        <w:t>ERCOT state</w:t>
      </w:r>
      <w:r w:rsidR="002B57A6">
        <w:rPr>
          <w:rFonts w:cs="Arial"/>
        </w:rPr>
        <w:t>s</w:t>
      </w:r>
      <w:r>
        <w:rPr>
          <w:rFonts w:cs="Arial"/>
        </w:rPr>
        <w:t xml:space="preserve"> its intent to impose an </w:t>
      </w:r>
      <w:r w:rsidRPr="006B4272">
        <w:rPr>
          <w:rFonts w:cs="Arial"/>
          <w:b/>
          <w:bCs/>
        </w:rPr>
        <w:t>automatic “failure to provide” charge</w:t>
      </w:r>
      <w:r>
        <w:rPr>
          <w:rFonts w:cs="Arial"/>
        </w:rPr>
        <w:t xml:space="preserve"> on </w:t>
      </w:r>
      <w:r w:rsidRPr="006B4272">
        <w:rPr>
          <w:rFonts w:cs="Arial"/>
        </w:rPr>
        <w:t>an</w:t>
      </w:r>
      <w:r w:rsidRPr="006B4272">
        <w:rPr>
          <w:rFonts w:cs="Arial"/>
          <w:b/>
          <w:bCs/>
        </w:rPr>
        <w:t xml:space="preserve"> ESR, regardless of size or duration</w:t>
      </w:r>
      <w:r>
        <w:rPr>
          <w:rFonts w:cs="Arial"/>
        </w:rPr>
        <w:t>, if th</w:t>
      </w:r>
      <w:r w:rsidR="002B57A6">
        <w:rPr>
          <w:rFonts w:cs="Arial"/>
        </w:rPr>
        <w:t>at</w:t>
      </w:r>
      <w:r>
        <w:rPr>
          <w:rFonts w:cs="Arial"/>
        </w:rPr>
        <w:t xml:space="preserve"> ESR fails to meet </w:t>
      </w:r>
      <w:r w:rsidR="002B57A6">
        <w:rPr>
          <w:rFonts w:cs="Arial"/>
        </w:rPr>
        <w:t xml:space="preserve">a </w:t>
      </w:r>
      <w:r>
        <w:rPr>
          <w:rFonts w:cs="Arial"/>
        </w:rPr>
        <w:t>SOC requirement</w:t>
      </w:r>
      <w:r w:rsidR="002B57A6">
        <w:rPr>
          <w:rFonts w:cs="Arial"/>
        </w:rPr>
        <w:t>,</w:t>
      </w:r>
      <w:r>
        <w:rPr>
          <w:rFonts w:cs="Arial"/>
        </w:rPr>
        <w:t xml:space="preserve"> </w:t>
      </w:r>
      <w:r w:rsidR="002B57A6">
        <w:rPr>
          <w:rFonts w:cs="Arial"/>
        </w:rPr>
        <w:t xml:space="preserve">regardless of whether that ESR </w:t>
      </w:r>
      <w:proofErr w:type="gramStart"/>
      <w:r w:rsidR="002B57A6">
        <w:rPr>
          <w:rFonts w:cs="Arial"/>
        </w:rPr>
        <w:t xml:space="preserve">actually </w:t>
      </w:r>
      <w:r>
        <w:rPr>
          <w:rFonts w:cs="Arial"/>
        </w:rPr>
        <w:t>meet</w:t>
      </w:r>
      <w:r w:rsidR="002B57A6">
        <w:rPr>
          <w:rFonts w:cs="Arial"/>
        </w:rPr>
        <w:t>s</w:t>
      </w:r>
      <w:proofErr w:type="gramEnd"/>
      <w:r>
        <w:rPr>
          <w:rFonts w:cs="Arial"/>
        </w:rPr>
        <w:t xml:space="preserve"> its Ancillary Service Resource Responsibility o</w:t>
      </w:r>
      <w:r>
        <w:rPr>
          <w:rFonts w:cs="Arial"/>
        </w:rPr>
        <w:t>r the ESR’s Qualified Scheduling Entity (QSE) transfers the ESR’s obligation to another Resource</w:t>
      </w:r>
      <w:r w:rsidR="002B57A6">
        <w:rPr>
          <w:rFonts w:cs="Arial"/>
        </w:rPr>
        <w:t>.</w:t>
      </w:r>
      <w:r>
        <w:rPr>
          <w:rFonts w:cs="Arial"/>
        </w:rPr>
        <w:t xml:space="preserve"> ERCOT is propos</w:t>
      </w:r>
      <w:r w:rsidR="002B57A6">
        <w:rPr>
          <w:rFonts w:cs="Arial"/>
        </w:rPr>
        <w:t>ing</w:t>
      </w:r>
      <w:r>
        <w:rPr>
          <w:rFonts w:cs="Arial"/>
        </w:rPr>
        <w:t xml:space="preserve"> this blanket penalty based on ERCOT’s perceived “</w:t>
      </w:r>
      <w:r w:rsidRPr="006B4272">
        <w:rPr>
          <w:b/>
          <w:bCs/>
        </w:rPr>
        <w:t>risk that short-duration ESRs</w:t>
      </w:r>
      <w:r>
        <w:t xml:space="preserve"> will not have the SOC necessary to fulfill their Ancillary S</w:t>
      </w:r>
      <w:r>
        <w:t>ervice Resource Responsibilities in the event they are carrying such a responsibility across multiple consecutive hours and are deployed for that service across those hours”</w:t>
      </w:r>
      <w:r w:rsidR="00AE18AE">
        <w:t xml:space="preserve"> (emphasis added).</w:t>
      </w:r>
      <w:r>
        <w:rPr>
          <w:rStyle w:val="FootnoteReference"/>
        </w:rPr>
        <w:footnoteReference w:id="3"/>
      </w:r>
      <w:r>
        <w:t xml:space="preserve"> This proposal will effectively:</w:t>
      </w:r>
    </w:p>
    <w:p w14:paraId="79F0E246" w14:textId="77777777" w:rsidR="006B4272" w:rsidRDefault="006B4272" w:rsidP="006B1026">
      <w:pPr>
        <w:pStyle w:val="NormalArial"/>
        <w:jc w:val="both"/>
      </w:pPr>
    </w:p>
    <w:p w14:paraId="4940A66C" w14:textId="16DC6CE3" w:rsidR="006B4272" w:rsidRDefault="0061075C" w:rsidP="006B4272">
      <w:pPr>
        <w:pStyle w:val="NormalArial"/>
        <w:numPr>
          <w:ilvl w:val="0"/>
          <w:numId w:val="12"/>
        </w:numPr>
        <w:ind w:left="1440" w:hanging="720"/>
        <w:jc w:val="both"/>
      </w:pPr>
      <w:r>
        <w:t>Impose failure to provide cha</w:t>
      </w:r>
      <w:r>
        <w:t xml:space="preserve">rges on all ESRs that fail to maintain SOC </w:t>
      </w:r>
      <w:r w:rsidR="00A8073C">
        <w:t xml:space="preserve">as dictated by ERCOT </w:t>
      </w:r>
      <w:r>
        <w:t xml:space="preserve">even if they </w:t>
      </w:r>
      <w:proofErr w:type="gramStart"/>
      <w:r>
        <w:t>actually provide</w:t>
      </w:r>
      <w:proofErr w:type="gramEnd"/>
      <w:r>
        <w:t xml:space="preserve"> the Ancillary Service or transfer it to another Resource; and</w:t>
      </w:r>
    </w:p>
    <w:p w14:paraId="418E0EC5" w14:textId="77777777" w:rsidR="006B4272" w:rsidRDefault="006B4272" w:rsidP="006B4272">
      <w:pPr>
        <w:pStyle w:val="NormalArial"/>
        <w:ind w:left="1440"/>
        <w:jc w:val="both"/>
      </w:pPr>
    </w:p>
    <w:p w14:paraId="0502D987" w14:textId="0DE45725" w:rsidR="006B4272" w:rsidRDefault="0061075C" w:rsidP="006B4272">
      <w:pPr>
        <w:pStyle w:val="NormalArial"/>
        <w:numPr>
          <w:ilvl w:val="0"/>
          <w:numId w:val="12"/>
        </w:numPr>
        <w:ind w:left="1440" w:hanging="720"/>
        <w:jc w:val="both"/>
      </w:pPr>
      <w:r>
        <w:t xml:space="preserve">Potentially </w:t>
      </w:r>
      <w:r w:rsidR="00D5474B">
        <w:t>p</w:t>
      </w:r>
      <w:r>
        <w:t>enalize ESRs qualified to provide Ancillary Services with longer duration requirements</w:t>
      </w:r>
      <w:r>
        <w:t xml:space="preserve"> (i.e., </w:t>
      </w:r>
      <w:r w:rsidR="006E3C43">
        <w:t>ERCOT Contingency Reserve Service (</w:t>
      </w:r>
      <w:r>
        <w:t>ECRS</w:t>
      </w:r>
      <w:r w:rsidR="006E3C43">
        <w:t>)</w:t>
      </w:r>
      <w:r>
        <w:t xml:space="preserve"> and </w:t>
      </w:r>
      <w:r w:rsidR="006E3C43">
        <w:t>Non-Spinning Reserve (</w:t>
      </w:r>
      <w:r>
        <w:t>Non-Spin</w:t>
      </w:r>
      <w:r w:rsidR="006E3C43">
        <w:t>)</w:t>
      </w:r>
      <w:r>
        <w:t>)</w:t>
      </w:r>
      <w:r w:rsidR="007E3ABB">
        <w:t xml:space="preserve"> due to ERCOT’s focus on issues that</w:t>
      </w:r>
      <w:r w:rsidR="005964E5">
        <w:t xml:space="preserve"> ERCOT views may be caused by shorter duration ESRs</w:t>
      </w:r>
      <w:r>
        <w:t xml:space="preserve">. </w:t>
      </w:r>
    </w:p>
    <w:p w14:paraId="1C53A462" w14:textId="77777777" w:rsidR="00136F57" w:rsidRDefault="00136F57" w:rsidP="006B1026">
      <w:pPr>
        <w:pStyle w:val="NormalArial"/>
        <w:jc w:val="both"/>
      </w:pPr>
    </w:p>
    <w:p w14:paraId="78C7A9DF" w14:textId="77777777" w:rsidR="00AE18AE" w:rsidRDefault="00AE18AE" w:rsidP="006B1026">
      <w:pPr>
        <w:pStyle w:val="NormalArial"/>
        <w:jc w:val="both"/>
      </w:pPr>
    </w:p>
    <w:p w14:paraId="504E35EB" w14:textId="4385A2E9" w:rsidR="006B4272" w:rsidRDefault="0061075C" w:rsidP="006B1026">
      <w:pPr>
        <w:pStyle w:val="NormalArial"/>
        <w:jc w:val="both"/>
      </w:pPr>
      <w:r>
        <w:lastRenderedPageBreak/>
        <w:t xml:space="preserve">Further, </w:t>
      </w:r>
      <w:bookmarkStart w:id="8" w:name="OLE_LINK27"/>
      <w:r>
        <w:t>t</w:t>
      </w:r>
      <w:r w:rsidRPr="006B4272">
        <w:t xml:space="preserve">he ERCOT Protocols already </w:t>
      </w:r>
      <w:r>
        <w:t xml:space="preserve">impose failure to provide </w:t>
      </w:r>
      <w:r w:rsidRPr="006B4272">
        <w:t xml:space="preserve">charges </w:t>
      </w:r>
      <w:r w:rsidR="006679F8">
        <w:t xml:space="preserve">on </w:t>
      </w:r>
      <w:r w:rsidRPr="006B4272">
        <w:t xml:space="preserve">Resources (all Resource types) for </w:t>
      </w:r>
      <w:r>
        <w:t xml:space="preserve">a Resource’s </w:t>
      </w:r>
      <w:r w:rsidRPr="006B4272">
        <w:t>failure to provide Ancillary Service obligations.</w:t>
      </w:r>
      <w:r>
        <w:rPr>
          <w:rStyle w:val="FootnoteReference"/>
        </w:rPr>
        <w:footnoteReference w:id="4"/>
      </w:r>
      <w:r w:rsidRPr="006B4272">
        <w:t xml:space="preserve"> Extending failure to provide charges to a certain type of Resource that does not ultimately fail to provide is discriminatory and anticompetitive</w:t>
      </w:r>
      <w:r>
        <w:t>, and there</w:t>
      </w:r>
      <w:r>
        <w:t>fore a violation of PURA</w:t>
      </w:r>
      <w:r w:rsidRPr="006B4272">
        <w:t>.</w:t>
      </w:r>
      <w:r>
        <w:rPr>
          <w:rStyle w:val="FootnoteReference"/>
        </w:rPr>
        <w:footnoteReference w:id="5"/>
      </w:r>
    </w:p>
    <w:bookmarkEnd w:id="8"/>
    <w:p w14:paraId="734EF6A6" w14:textId="77777777" w:rsidR="006B4272" w:rsidRDefault="006B4272" w:rsidP="006B1026">
      <w:pPr>
        <w:pStyle w:val="NormalArial"/>
        <w:jc w:val="both"/>
      </w:pPr>
    </w:p>
    <w:p w14:paraId="0B3A4D17" w14:textId="77777777" w:rsidR="001039CA" w:rsidRDefault="0061075C" w:rsidP="001039CA">
      <w:pPr>
        <w:pStyle w:val="xmsonormal"/>
        <w:spacing w:before="0" w:beforeAutospacing="0" w:after="0" w:afterAutospacing="0"/>
        <w:jc w:val="both"/>
        <w:rPr>
          <w:rFonts w:ascii="Arial" w:hAnsi="Arial" w:cs="Arial"/>
          <w:color w:val="000000"/>
        </w:rPr>
      </w:pPr>
      <w:r>
        <w:rPr>
          <w:rFonts w:ascii="Arial" w:hAnsi="Arial" w:cs="Arial"/>
          <w:color w:val="000000"/>
        </w:rPr>
        <w:t>To be clear:</w:t>
      </w:r>
    </w:p>
    <w:p w14:paraId="56AC2619" w14:textId="77777777" w:rsidR="001039CA" w:rsidRDefault="001039CA" w:rsidP="001039CA">
      <w:pPr>
        <w:pStyle w:val="xmsonormal"/>
        <w:spacing w:before="0" w:beforeAutospacing="0" w:after="0" w:afterAutospacing="0"/>
        <w:jc w:val="both"/>
        <w:rPr>
          <w:rFonts w:ascii="Arial" w:hAnsi="Arial" w:cs="Arial"/>
          <w:color w:val="000000"/>
        </w:rPr>
      </w:pPr>
    </w:p>
    <w:p w14:paraId="253E7682" w14:textId="77777777" w:rsidR="001039CA" w:rsidRDefault="0061075C" w:rsidP="00693390">
      <w:pPr>
        <w:pStyle w:val="xmsonormal"/>
        <w:spacing w:before="0" w:beforeAutospacing="0" w:after="0" w:afterAutospacing="0"/>
        <w:jc w:val="both"/>
        <w:rPr>
          <w:rFonts w:ascii="Arial" w:hAnsi="Arial" w:cs="Arial"/>
          <w:color w:val="000000"/>
        </w:rPr>
      </w:pPr>
      <w:r>
        <w:rPr>
          <w:rFonts w:ascii="Arial" w:hAnsi="Arial" w:cs="Arial"/>
          <w:color w:val="000000"/>
        </w:rPr>
        <w:t>If:</w:t>
      </w:r>
    </w:p>
    <w:p w14:paraId="68552281" w14:textId="77777777" w:rsidR="001039CA" w:rsidRDefault="0061075C" w:rsidP="001039CA">
      <w:pPr>
        <w:pStyle w:val="xmsonormal"/>
        <w:numPr>
          <w:ilvl w:val="0"/>
          <w:numId w:val="11"/>
        </w:numPr>
        <w:spacing w:before="0" w:beforeAutospacing="0" w:after="120" w:afterAutospacing="0"/>
        <w:ind w:left="1440" w:hanging="720"/>
        <w:jc w:val="both"/>
        <w:rPr>
          <w:rFonts w:ascii="Arial" w:hAnsi="Arial" w:cs="Arial"/>
          <w:color w:val="000000"/>
        </w:rPr>
      </w:pPr>
      <w:r>
        <w:rPr>
          <w:rFonts w:ascii="Arial" w:hAnsi="Arial" w:cs="Arial"/>
          <w:color w:val="000000"/>
        </w:rPr>
        <w:t xml:space="preserve">An ESR provides ERCOT with its awarded Ancillary Service (i.e., the ESR satisfies its Ancillary Service Resource Responsibility); or </w:t>
      </w:r>
    </w:p>
    <w:p w14:paraId="2519A16E" w14:textId="536CFD1A" w:rsidR="001039CA" w:rsidRDefault="0061075C" w:rsidP="001039CA">
      <w:pPr>
        <w:pStyle w:val="xmsonormal"/>
        <w:numPr>
          <w:ilvl w:val="0"/>
          <w:numId w:val="11"/>
        </w:numPr>
        <w:spacing w:before="120" w:beforeAutospacing="0" w:after="120" w:afterAutospacing="0"/>
        <w:ind w:left="1440" w:hanging="720"/>
        <w:jc w:val="both"/>
        <w:rPr>
          <w:rFonts w:ascii="Arial" w:hAnsi="Arial" w:cs="Arial"/>
          <w:color w:val="000000"/>
        </w:rPr>
      </w:pPr>
      <w:r>
        <w:rPr>
          <w:rFonts w:ascii="Arial" w:hAnsi="Arial" w:cs="Arial"/>
          <w:color w:val="000000"/>
        </w:rPr>
        <w:t xml:space="preserve">An ESR’s Qualified Scheduling Entity (QSE) moves the ESR’s Ancillary Service Resource Responsibility to another Resource, </w:t>
      </w:r>
      <w:r>
        <w:rPr>
          <w:rFonts w:ascii="Arial" w:hAnsi="Arial" w:cs="Arial"/>
          <w:color w:val="000000"/>
        </w:rPr>
        <w:t xml:space="preserve">as it </w:t>
      </w:r>
      <w:r w:rsidR="006679F8">
        <w:rPr>
          <w:rFonts w:ascii="Arial" w:hAnsi="Arial" w:cs="Arial"/>
          <w:color w:val="000000"/>
        </w:rPr>
        <w:t xml:space="preserve">(and all Resources) </w:t>
      </w:r>
      <w:r>
        <w:rPr>
          <w:rFonts w:ascii="Arial" w:hAnsi="Arial" w:cs="Arial"/>
          <w:color w:val="000000"/>
        </w:rPr>
        <w:t>may do under the Protocols (i.e., a Resource satisfies the Ancillary Service award);</w:t>
      </w:r>
    </w:p>
    <w:p w14:paraId="6352C862" w14:textId="77777777" w:rsidR="001039CA" w:rsidRDefault="0061075C" w:rsidP="00693390">
      <w:pPr>
        <w:pStyle w:val="xmsonormal"/>
        <w:spacing w:before="120" w:beforeAutospacing="0" w:after="0" w:afterAutospacing="0"/>
        <w:jc w:val="both"/>
        <w:rPr>
          <w:rFonts w:ascii="Arial" w:hAnsi="Arial" w:cs="Arial"/>
          <w:color w:val="000000"/>
        </w:rPr>
      </w:pPr>
      <w:r>
        <w:rPr>
          <w:rFonts w:ascii="Arial" w:hAnsi="Arial" w:cs="Arial"/>
          <w:color w:val="000000"/>
        </w:rPr>
        <w:t>And:</w:t>
      </w:r>
    </w:p>
    <w:p w14:paraId="79DE461E" w14:textId="77777777" w:rsidR="001039CA" w:rsidRDefault="0061075C" w:rsidP="00693390">
      <w:pPr>
        <w:pStyle w:val="xmsonormal"/>
        <w:numPr>
          <w:ilvl w:val="0"/>
          <w:numId w:val="11"/>
        </w:numPr>
        <w:spacing w:before="0" w:beforeAutospacing="0" w:after="120" w:afterAutospacing="0"/>
        <w:ind w:left="1440" w:hanging="720"/>
        <w:jc w:val="both"/>
        <w:rPr>
          <w:rFonts w:ascii="Arial" w:hAnsi="Arial" w:cs="Arial"/>
          <w:color w:val="000000"/>
        </w:rPr>
      </w:pPr>
      <w:r>
        <w:rPr>
          <w:rFonts w:ascii="Arial" w:hAnsi="Arial" w:cs="Arial"/>
          <w:color w:val="000000"/>
        </w:rPr>
        <w:t>For whatever reason, the ESR did not maintain SOC per NPRR1186;</w:t>
      </w:r>
    </w:p>
    <w:p w14:paraId="5F34EA07" w14:textId="77777777" w:rsidR="001039CA" w:rsidRDefault="0061075C" w:rsidP="00693390">
      <w:pPr>
        <w:pStyle w:val="xmsonormal"/>
        <w:spacing w:before="120" w:beforeAutospacing="0" w:after="0" w:afterAutospacing="0"/>
        <w:jc w:val="both"/>
        <w:rPr>
          <w:rFonts w:ascii="Arial" w:hAnsi="Arial" w:cs="Arial"/>
          <w:color w:val="000000"/>
        </w:rPr>
      </w:pPr>
      <w:r>
        <w:rPr>
          <w:rFonts w:ascii="Arial" w:hAnsi="Arial" w:cs="Arial"/>
          <w:color w:val="000000"/>
        </w:rPr>
        <w:t>But:</w:t>
      </w:r>
    </w:p>
    <w:p w14:paraId="0C02F593" w14:textId="77777777" w:rsidR="001039CA" w:rsidRDefault="0061075C" w:rsidP="001039CA">
      <w:pPr>
        <w:pStyle w:val="xmsonormal"/>
        <w:numPr>
          <w:ilvl w:val="0"/>
          <w:numId w:val="11"/>
        </w:numPr>
        <w:spacing w:before="0" w:beforeAutospacing="0" w:after="120" w:afterAutospacing="0"/>
        <w:ind w:left="1440" w:hanging="720"/>
        <w:jc w:val="both"/>
        <w:rPr>
          <w:rFonts w:ascii="Arial" w:hAnsi="Arial" w:cs="Arial"/>
          <w:color w:val="000000"/>
        </w:rPr>
      </w:pPr>
      <w:r>
        <w:rPr>
          <w:rFonts w:ascii="Arial" w:hAnsi="Arial" w:cs="Arial"/>
          <w:color w:val="000000"/>
        </w:rPr>
        <w:t xml:space="preserve">ERCOT still </w:t>
      </w:r>
      <w:r>
        <w:rPr>
          <w:rFonts w:ascii="Arial" w:hAnsi="Arial" w:cs="Arial"/>
          <w:b/>
          <w:bCs/>
          <w:i/>
          <w:iCs/>
          <w:color w:val="000000"/>
        </w:rPr>
        <w:t>takes</w:t>
      </w:r>
      <w:r>
        <w:rPr>
          <w:rFonts w:ascii="Arial" w:hAnsi="Arial" w:cs="Arial"/>
          <w:color w:val="000000"/>
        </w:rPr>
        <w:t xml:space="preserve"> the Ancillary Service provided by the ESR or the subs</w:t>
      </w:r>
      <w:r>
        <w:rPr>
          <w:rFonts w:ascii="Arial" w:hAnsi="Arial" w:cs="Arial"/>
          <w:color w:val="000000"/>
        </w:rPr>
        <w:t xml:space="preserve">tituted Resource and </w:t>
      </w:r>
      <w:r>
        <w:rPr>
          <w:rFonts w:ascii="Arial" w:hAnsi="Arial" w:cs="Arial"/>
          <w:b/>
          <w:bCs/>
          <w:i/>
          <w:iCs/>
          <w:color w:val="000000"/>
        </w:rPr>
        <w:t>uses</w:t>
      </w:r>
      <w:r>
        <w:rPr>
          <w:rFonts w:ascii="Arial" w:hAnsi="Arial" w:cs="Arial"/>
          <w:color w:val="000000"/>
        </w:rPr>
        <w:t xml:space="preserve"> it to help maintain reliability on ERCOT System;</w:t>
      </w:r>
    </w:p>
    <w:p w14:paraId="6893B283" w14:textId="77777777" w:rsidR="001039CA" w:rsidRDefault="0061075C" w:rsidP="00693390">
      <w:pPr>
        <w:pStyle w:val="xmsonormal"/>
        <w:spacing w:before="120" w:beforeAutospacing="0" w:after="0" w:afterAutospacing="0"/>
        <w:jc w:val="both"/>
        <w:rPr>
          <w:rFonts w:ascii="Arial" w:hAnsi="Arial" w:cs="Arial"/>
          <w:color w:val="000000"/>
        </w:rPr>
      </w:pPr>
      <w:r>
        <w:rPr>
          <w:rFonts w:ascii="Arial" w:hAnsi="Arial" w:cs="Arial"/>
          <w:color w:val="000000"/>
        </w:rPr>
        <w:t>Then:</w:t>
      </w:r>
    </w:p>
    <w:p w14:paraId="05342894" w14:textId="2F99F37D" w:rsidR="001039CA" w:rsidRDefault="0061075C" w:rsidP="00693390">
      <w:pPr>
        <w:pStyle w:val="xmsonormal"/>
        <w:numPr>
          <w:ilvl w:val="0"/>
          <w:numId w:val="11"/>
        </w:numPr>
        <w:spacing w:before="0" w:beforeAutospacing="0" w:after="0" w:afterAutospacing="0"/>
        <w:ind w:left="1440" w:hanging="720"/>
        <w:jc w:val="both"/>
        <w:rPr>
          <w:rFonts w:ascii="Arial" w:hAnsi="Arial" w:cs="Arial"/>
          <w:color w:val="000000"/>
        </w:rPr>
      </w:pPr>
      <w:r>
        <w:rPr>
          <w:rFonts w:ascii="Arial" w:hAnsi="Arial" w:cs="Arial"/>
          <w:color w:val="000000"/>
        </w:rPr>
        <w:t xml:space="preserve">Under NPRR1186, the ESR </w:t>
      </w:r>
      <w:r w:rsidR="008662E2">
        <w:rPr>
          <w:rFonts w:ascii="Arial" w:hAnsi="Arial" w:cs="Arial"/>
          <w:color w:val="000000"/>
        </w:rPr>
        <w:t xml:space="preserve">will </w:t>
      </w:r>
      <w:r w:rsidR="00B42C57">
        <w:rPr>
          <w:rFonts w:ascii="Arial" w:hAnsi="Arial" w:cs="Arial"/>
          <w:color w:val="000000"/>
        </w:rPr>
        <w:t xml:space="preserve">be subject to </w:t>
      </w:r>
      <w:r>
        <w:rPr>
          <w:rFonts w:ascii="Arial" w:hAnsi="Arial" w:cs="Arial"/>
          <w:color w:val="000000"/>
        </w:rPr>
        <w:t xml:space="preserve">financial charges (penalties) by ERCOT and deemed in violation of the ERCOT Protocols, which also subjects the ESR to </w:t>
      </w:r>
      <w:r>
        <w:rPr>
          <w:rFonts w:ascii="Arial" w:hAnsi="Arial" w:cs="Arial"/>
          <w:color w:val="000000"/>
        </w:rPr>
        <w:t>enforcement action</w:t>
      </w:r>
      <w:r w:rsidR="00832E2F">
        <w:rPr>
          <w:rFonts w:ascii="Arial" w:hAnsi="Arial" w:cs="Arial"/>
          <w:color w:val="000000"/>
        </w:rPr>
        <w:t xml:space="preserve"> by the Public Utility Commission of Texas (PUCT)</w:t>
      </w:r>
      <w:r>
        <w:rPr>
          <w:rFonts w:ascii="Arial" w:hAnsi="Arial" w:cs="Arial"/>
          <w:color w:val="000000"/>
        </w:rPr>
        <w:t xml:space="preserve"> and </w:t>
      </w:r>
      <w:r w:rsidR="003568E9">
        <w:rPr>
          <w:rFonts w:ascii="Arial" w:hAnsi="Arial" w:cs="Arial"/>
          <w:color w:val="000000"/>
        </w:rPr>
        <w:t xml:space="preserve">fines of up to </w:t>
      </w:r>
      <w:r>
        <w:rPr>
          <w:rFonts w:ascii="Arial" w:hAnsi="Arial" w:cs="Arial"/>
          <w:color w:val="000000"/>
        </w:rPr>
        <w:t>$25,000</w:t>
      </w:r>
      <w:r w:rsidR="003568E9">
        <w:rPr>
          <w:rFonts w:ascii="Arial" w:hAnsi="Arial" w:cs="Arial"/>
          <w:color w:val="000000"/>
        </w:rPr>
        <w:t xml:space="preserve"> per 5</w:t>
      </w:r>
      <w:r>
        <w:rPr>
          <w:rFonts w:ascii="Arial" w:hAnsi="Arial" w:cs="Arial"/>
          <w:color w:val="000000"/>
        </w:rPr>
        <w:t>-minute SCED interval.</w:t>
      </w:r>
    </w:p>
    <w:p w14:paraId="12888516" w14:textId="77777777" w:rsidR="00693390" w:rsidRDefault="00693390" w:rsidP="00693390">
      <w:pPr>
        <w:pStyle w:val="xmsonormal"/>
        <w:spacing w:before="0" w:beforeAutospacing="0" w:after="0" w:afterAutospacing="0"/>
        <w:jc w:val="both"/>
        <w:rPr>
          <w:rFonts w:ascii="Arial" w:hAnsi="Arial" w:cs="Arial"/>
          <w:color w:val="000000"/>
        </w:rPr>
      </w:pPr>
    </w:p>
    <w:p w14:paraId="160785A7" w14:textId="11876709" w:rsidR="001039CA" w:rsidRDefault="0061075C" w:rsidP="00693390">
      <w:pPr>
        <w:pStyle w:val="xmsonormal"/>
        <w:spacing w:before="0" w:beforeAutospacing="0" w:after="0" w:afterAutospacing="0"/>
        <w:jc w:val="both"/>
        <w:rPr>
          <w:rFonts w:ascii="Arial" w:hAnsi="Arial" w:cs="Arial"/>
          <w:color w:val="000000"/>
        </w:rPr>
      </w:pPr>
      <w:r>
        <w:rPr>
          <w:rFonts w:ascii="Arial" w:hAnsi="Arial" w:cs="Arial"/>
          <w:color w:val="000000"/>
        </w:rPr>
        <w:t xml:space="preserve">Under NPRR1186, </w:t>
      </w:r>
      <w:r w:rsidR="00B67504">
        <w:rPr>
          <w:rFonts w:ascii="Arial" w:hAnsi="Arial" w:cs="Arial"/>
          <w:color w:val="000000"/>
        </w:rPr>
        <w:t xml:space="preserve">an ESR </w:t>
      </w:r>
      <w:r>
        <w:rPr>
          <w:rFonts w:ascii="Arial" w:hAnsi="Arial" w:cs="Arial"/>
          <w:color w:val="000000"/>
        </w:rPr>
        <w:t xml:space="preserve">may qualify to provide Ancillary Service products in ERCOT like any other Resource, but if </w:t>
      </w:r>
      <w:r w:rsidR="00B67504">
        <w:rPr>
          <w:rFonts w:ascii="Arial" w:hAnsi="Arial" w:cs="Arial"/>
          <w:color w:val="000000"/>
        </w:rPr>
        <w:t xml:space="preserve">the ESR does </w:t>
      </w:r>
      <w:r>
        <w:rPr>
          <w:rFonts w:ascii="Arial" w:hAnsi="Arial" w:cs="Arial"/>
          <w:color w:val="000000"/>
        </w:rPr>
        <w:t xml:space="preserve">not operate in a certain manner—even though the ERCOT System still benefits from the Ancillary Service </w:t>
      </w:r>
      <w:r w:rsidR="00253446">
        <w:rPr>
          <w:rFonts w:ascii="Arial" w:hAnsi="Arial" w:cs="Arial"/>
          <w:color w:val="000000"/>
        </w:rPr>
        <w:t xml:space="preserve">the ESR was </w:t>
      </w:r>
      <w:r>
        <w:rPr>
          <w:rFonts w:ascii="Arial" w:hAnsi="Arial" w:cs="Arial"/>
          <w:color w:val="000000"/>
        </w:rPr>
        <w:t>awarded</w:t>
      </w:r>
      <w:r w:rsidR="00D60D07">
        <w:rPr>
          <w:rFonts w:ascii="Arial" w:hAnsi="Arial" w:cs="Arial"/>
          <w:color w:val="000000"/>
        </w:rPr>
        <w:t xml:space="preserve"> and provided</w:t>
      </w:r>
      <w:r>
        <w:rPr>
          <w:rFonts w:ascii="Arial" w:hAnsi="Arial" w:cs="Arial"/>
          <w:color w:val="000000"/>
        </w:rPr>
        <w:t>—</w:t>
      </w:r>
      <w:r w:rsidR="00253446">
        <w:rPr>
          <w:rFonts w:ascii="Arial" w:hAnsi="Arial" w:cs="Arial"/>
          <w:color w:val="000000"/>
        </w:rPr>
        <w:t xml:space="preserve">the ESR is </w:t>
      </w:r>
      <w:r>
        <w:rPr>
          <w:rFonts w:ascii="Arial" w:hAnsi="Arial" w:cs="Arial"/>
          <w:color w:val="000000"/>
        </w:rPr>
        <w:t>subje</w:t>
      </w:r>
      <w:r>
        <w:rPr>
          <w:rFonts w:ascii="Arial" w:hAnsi="Arial" w:cs="Arial"/>
          <w:color w:val="000000"/>
        </w:rPr>
        <w:t>ct to penalties and disqualification, unlike any other Resource in ERCOT.</w:t>
      </w:r>
    </w:p>
    <w:p w14:paraId="2430CF96" w14:textId="77777777" w:rsidR="00693390" w:rsidRDefault="00693390" w:rsidP="00136F57">
      <w:pPr>
        <w:pStyle w:val="NormalArial"/>
        <w:jc w:val="both"/>
        <w:rPr>
          <w:b/>
          <w:bCs/>
          <w:u w:val="single"/>
        </w:rPr>
      </w:pPr>
    </w:p>
    <w:p w14:paraId="2EE467C4" w14:textId="77777777" w:rsidR="00AE18AE" w:rsidRDefault="0061075C">
      <w:pPr>
        <w:rPr>
          <w:rFonts w:ascii="Arial" w:hAnsi="Arial"/>
          <w:b/>
          <w:bCs/>
          <w:u w:val="single"/>
        </w:rPr>
      </w:pPr>
      <w:r>
        <w:rPr>
          <w:b/>
          <w:bCs/>
          <w:u w:val="single"/>
        </w:rPr>
        <w:br w:type="page"/>
      </w:r>
    </w:p>
    <w:p w14:paraId="62F53C8A" w14:textId="1ECCB910" w:rsidR="00330A21" w:rsidRDefault="0061075C" w:rsidP="00136F57">
      <w:pPr>
        <w:pStyle w:val="NormalArial"/>
        <w:jc w:val="both"/>
      </w:pPr>
      <w:r w:rsidRPr="00136F57">
        <w:rPr>
          <w:b/>
          <w:bCs/>
          <w:u w:val="single"/>
        </w:rPr>
        <w:lastRenderedPageBreak/>
        <w:t xml:space="preserve">Mandatory </w:t>
      </w:r>
      <w:r w:rsidR="008F6BC1" w:rsidRPr="00136F57">
        <w:rPr>
          <w:b/>
          <w:bCs/>
          <w:u w:val="single"/>
        </w:rPr>
        <w:t xml:space="preserve">ESR </w:t>
      </w:r>
      <w:r w:rsidRPr="00136F57">
        <w:rPr>
          <w:b/>
          <w:bCs/>
          <w:u w:val="single"/>
        </w:rPr>
        <w:t>Disqualification</w:t>
      </w:r>
      <w:r w:rsidR="00914B74">
        <w:t xml:space="preserve"> </w:t>
      </w:r>
    </w:p>
    <w:p w14:paraId="19F3F117" w14:textId="75206CC5" w:rsidR="006B4272" w:rsidRPr="00330A21" w:rsidRDefault="0061075C" w:rsidP="00330A21">
      <w:pPr>
        <w:pStyle w:val="NormalArial"/>
        <w:spacing w:before="60"/>
        <w:jc w:val="both"/>
      </w:pPr>
      <w:r>
        <w:t>(</w:t>
      </w:r>
      <w:r w:rsidRPr="00914B74">
        <w:t>ERCOT-Proposed Board Priority NPRR</w:t>
      </w:r>
      <w:r>
        <w:t>)</w:t>
      </w:r>
    </w:p>
    <w:p w14:paraId="6C2F0ACF" w14:textId="63BEA54D" w:rsidR="006B4272" w:rsidRDefault="006B4272" w:rsidP="006B1026">
      <w:pPr>
        <w:pStyle w:val="NormalArial"/>
        <w:jc w:val="both"/>
      </w:pPr>
    </w:p>
    <w:p w14:paraId="17BF8E78" w14:textId="77777777" w:rsidR="006B4272" w:rsidRDefault="0061075C" w:rsidP="006B1026">
      <w:pPr>
        <w:pStyle w:val="NormalArial"/>
        <w:jc w:val="both"/>
      </w:pPr>
      <w:r>
        <w:t xml:space="preserve">ERCOT states that it will seek to implement </w:t>
      </w:r>
      <w:r>
        <w:rPr>
          <w:b/>
          <w:bCs/>
        </w:rPr>
        <w:t>requirements to disqualify</w:t>
      </w:r>
      <w:r>
        <w:t xml:space="preserve"> ESRs for:</w:t>
      </w:r>
    </w:p>
    <w:p w14:paraId="0A4588DB" w14:textId="77777777" w:rsidR="006B4272" w:rsidRDefault="006B4272" w:rsidP="006B1026">
      <w:pPr>
        <w:pStyle w:val="NormalArial"/>
        <w:jc w:val="both"/>
      </w:pPr>
    </w:p>
    <w:p w14:paraId="71EEB143" w14:textId="6D134089" w:rsidR="006B4272" w:rsidRDefault="0061075C" w:rsidP="006B4272">
      <w:pPr>
        <w:pStyle w:val="NormalArial"/>
        <w:numPr>
          <w:ilvl w:val="0"/>
          <w:numId w:val="14"/>
        </w:numPr>
        <w:jc w:val="both"/>
      </w:pPr>
      <w:r>
        <w:t>Repeated failures to perfor</w:t>
      </w:r>
      <w:r>
        <w:t xml:space="preserve">m; or </w:t>
      </w:r>
    </w:p>
    <w:p w14:paraId="44D04110" w14:textId="77777777" w:rsidR="006B4272" w:rsidRDefault="006B4272" w:rsidP="006B4272">
      <w:pPr>
        <w:pStyle w:val="NormalArial"/>
        <w:ind w:left="1510"/>
        <w:jc w:val="both"/>
      </w:pPr>
    </w:p>
    <w:p w14:paraId="24A7D20A" w14:textId="5BBEE1EF" w:rsidR="006B4272" w:rsidRPr="00AE18AE" w:rsidRDefault="0061075C" w:rsidP="006B1026">
      <w:pPr>
        <w:pStyle w:val="NormalArial"/>
        <w:numPr>
          <w:ilvl w:val="0"/>
          <w:numId w:val="14"/>
        </w:numPr>
        <w:jc w:val="both"/>
      </w:pPr>
      <w:r>
        <w:t>A f</w:t>
      </w:r>
      <w:r w:rsidRPr="006B4272">
        <w:t>ailure to perform</w:t>
      </w:r>
      <w:r>
        <w:t xml:space="preserve"> </w:t>
      </w:r>
      <w:r w:rsidRPr="006B4272">
        <w:t xml:space="preserve">during energy emergencies and </w:t>
      </w:r>
      <w:r>
        <w:t>“</w:t>
      </w:r>
      <w:r w:rsidRPr="006B4272">
        <w:t>other significant grid events</w:t>
      </w:r>
      <w:r>
        <w:t>.”</w:t>
      </w:r>
    </w:p>
    <w:p w14:paraId="1944BCC9" w14:textId="77777777" w:rsidR="00693390" w:rsidRDefault="00693390" w:rsidP="006B1026">
      <w:pPr>
        <w:pStyle w:val="NormalArial"/>
        <w:jc w:val="both"/>
        <w:rPr>
          <w:rFonts w:cs="Arial"/>
          <w:b/>
          <w:bCs/>
          <w:i/>
          <w:iCs/>
          <w:sz w:val="23"/>
          <w:szCs w:val="23"/>
        </w:rPr>
      </w:pPr>
    </w:p>
    <w:p w14:paraId="182C307D" w14:textId="7F988574" w:rsidR="006B4272" w:rsidRPr="00330A21" w:rsidRDefault="0061075C" w:rsidP="006B1026">
      <w:pPr>
        <w:pStyle w:val="NormalArial"/>
        <w:jc w:val="both"/>
        <w:rPr>
          <w:rFonts w:cs="Arial"/>
          <w:b/>
          <w:bCs/>
          <w:sz w:val="23"/>
          <w:szCs w:val="23"/>
        </w:rPr>
      </w:pPr>
      <w:r w:rsidRPr="00330A21">
        <w:rPr>
          <w:rFonts w:cs="Arial"/>
          <w:b/>
          <w:bCs/>
          <w:i/>
          <w:iCs/>
          <w:sz w:val="23"/>
          <w:szCs w:val="23"/>
        </w:rPr>
        <w:t>Repeated Failures to Provide</w:t>
      </w:r>
    </w:p>
    <w:p w14:paraId="4D8E3567" w14:textId="63A39618" w:rsidR="006B4272" w:rsidRDefault="006B4272" w:rsidP="006B1026">
      <w:pPr>
        <w:pStyle w:val="NormalArial"/>
        <w:jc w:val="both"/>
        <w:rPr>
          <w:rFonts w:cs="Arial"/>
        </w:rPr>
      </w:pPr>
    </w:p>
    <w:p w14:paraId="46F99676" w14:textId="28866B6B" w:rsidR="006B4272" w:rsidRPr="00330A21" w:rsidRDefault="0061075C" w:rsidP="006B4272">
      <w:pPr>
        <w:pStyle w:val="NormalArial"/>
        <w:jc w:val="both"/>
      </w:pPr>
      <w:r>
        <w:t xml:space="preserve">As noted above, the ERCOT Protocols already impose failure to provide charges </w:t>
      </w:r>
      <w:r w:rsidR="006679F8">
        <w:t xml:space="preserve">on </w:t>
      </w:r>
      <w:r>
        <w:t>Resources (all Resource types) for a Resource’s failure to provide Ancillary Service obligations.</w:t>
      </w:r>
      <w:r>
        <w:rPr>
          <w:rStyle w:val="FootnoteReference"/>
        </w:rPr>
        <w:footnoteReference w:id="6"/>
      </w:r>
      <w:r>
        <w:t xml:space="preserve"> Imposing </w:t>
      </w:r>
      <w:r w:rsidR="00330A21">
        <w:t xml:space="preserve">a </w:t>
      </w:r>
      <w:r>
        <w:t xml:space="preserve">mandatory disqualification </w:t>
      </w:r>
      <w:r w:rsidR="00330A21">
        <w:t xml:space="preserve">requirement </w:t>
      </w:r>
      <w:r>
        <w:t>on ESRs for repeated fail</w:t>
      </w:r>
      <w:r>
        <w:t xml:space="preserve">ures to perform without imposing the </w:t>
      </w:r>
      <w:r w:rsidRPr="00330A21">
        <w:t xml:space="preserve">same standard on </w:t>
      </w:r>
      <w:r w:rsidR="00330A21" w:rsidRPr="00330A21">
        <w:rPr>
          <w:b/>
          <w:bCs/>
        </w:rPr>
        <w:t xml:space="preserve">all </w:t>
      </w:r>
      <w:r w:rsidRPr="00330A21">
        <w:rPr>
          <w:b/>
          <w:bCs/>
        </w:rPr>
        <w:t>Resource</w:t>
      </w:r>
      <w:r w:rsidR="00330A21" w:rsidRPr="00330A21">
        <w:rPr>
          <w:b/>
          <w:bCs/>
        </w:rPr>
        <w:t>s</w:t>
      </w:r>
      <w:r>
        <w:t xml:space="preserve"> is, on its face, </w:t>
      </w:r>
      <w:bookmarkStart w:id="9" w:name="OLE_LINK28"/>
      <w:r>
        <w:t xml:space="preserve">prejudicial, discriminatory, predatory, anticompetitive, and a violation of </w:t>
      </w:r>
      <w:r w:rsidR="008F6BC1">
        <w:t>PURA</w:t>
      </w:r>
      <w:r>
        <w:t>.</w:t>
      </w:r>
      <w:r>
        <w:rPr>
          <w:rStyle w:val="FootnoteReference"/>
        </w:rPr>
        <w:footnoteReference w:id="7"/>
      </w:r>
      <w:r>
        <w:t xml:space="preserve"> </w:t>
      </w:r>
    </w:p>
    <w:p w14:paraId="64DC42A8" w14:textId="42B04488" w:rsidR="006B4272" w:rsidRDefault="006B4272" w:rsidP="006B4272">
      <w:pPr>
        <w:pStyle w:val="NormalArial"/>
        <w:jc w:val="both"/>
      </w:pPr>
    </w:p>
    <w:bookmarkEnd w:id="9"/>
    <w:p w14:paraId="25AC5A6D" w14:textId="22833183" w:rsidR="008F6BC1" w:rsidRPr="00330A21" w:rsidRDefault="0061075C" w:rsidP="006B4272">
      <w:pPr>
        <w:pStyle w:val="NormalArial"/>
        <w:jc w:val="both"/>
        <w:rPr>
          <w:b/>
          <w:bCs/>
          <w:i/>
          <w:iCs/>
          <w:sz w:val="23"/>
          <w:szCs w:val="23"/>
        </w:rPr>
      </w:pPr>
      <w:r w:rsidRPr="00330A21">
        <w:rPr>
          <w:b/>
          <w:bCs/>
          <w:i/>
          <w:iCs/>
          <w:sz w:val="23"/>
          <w:szCs w:val="23"/>
        </w:rPr>
        <w:t>Failure to Provide During an Energy Emergency or an “Other Significant Grid Event”</w:t>
      </w:r>
    </w:p>
    <w:p w14:paraId="15C20338" w14:textId="77777777" w:rsidR="006B4272" w:rsidRPr="006B4272" w:rsidRDefault="006B4272" w:rsidP="006B1026">
      <w:pPr>
        <w:pStyle w:val="NormalArial"/>
        <w:jc w:val="both"/>
        <w:rPr>
          <w:rFonts w:cs="Arial"/>
        </w:rPr>
      </w:pPr>
    </w:p>
    <w:p w14:paraId="047134EE" w14:textId="0915E888" w:rsidR="008F6BC1" w:rsidRDefault="0061075C" w:rsidP="008F6BC1">
      <w:pPr>
        <w:pStyle w:val="NormalArial"/>
        <w:jc w:val="both"/>
      </w:pPr>
      <w:r>
        <w:rPr>
          <w:rFonts w:cs="Arial"/>
        </w:rPr>
        <w:t>A</w:t>
      </w:r>
      <w:r>
        <w:rPr>
          <w:rFonts w:cs="Arial"/>
        </w:rPr>
        <w:t>gain, the ERCOT Protocols currently impose failure to provide penalties on all Resource types. If a mandatory disqualification is to be imposed on ESRs during what appears to be a single EEA or other grid event presumably determined by ERCOT, then the same</w:t>
      </w:r>
      <w:r>
        <w:rPr>
          <w:rFonts w:cs="Arial"/>
        </w:rPr>
        <w:t xml:space="preserve"> standard must be </w:t>
      </w:r>
      <w:r w:rsidRPr="00330A21">
        <w:rPr>
          <w:rFonts w:cs="Arial"/>
        </w:rPr>
        <w:t xml:space="preserve">imposed on </w:t>
      </w:r>
      <w:r w:rsidRPr="00330A21">
        <w:rPr>
          <w:rFonts w:cs="Arial"/>
          <w:b/>
          <w:bCs/>
        </w:rPr>
        <w:t>all Resource</w:t>
      </w:r>
      <w:r w:rsidR="00330A21" w:rsidRPr="00330A21">
        <w:rPr>
          <w:rFonts w:cs="Arial"/>
          <w:b/>
          <w:bCs/>
        </w:rPr>
        <w:t>s</w:t>
      </w:r>
      <w:r>
        <w:rPr>
          <w:rFonts w:cs="Arial"/>
        </w:rPr>
        <w:t xml:space="preserve">. Otherwise, such a rule is blatantly </w:t>
      </w:r>
      <w:r>
        <w:t>prejudicial, discriminatory, predatory, anticompetitive, and a violation of PURA.</w:t>
      </w:r>
      <w:r>
        <w:rPr>
          <w:rStyle w:val="FootnoteReference"/>
        </w:rPr>
        <w:footnoteReference w:id="8"/>
      </w:r>
      <w:r>
        <w:t xml:space="preserve"> </w:t>
      </w:r>
    </w:p>
    <w:p w14:paraId="06085400" w14:textId="77777777" w:rsidR="008F6BC1" w:rsidRDefault="008F6BC1" w:rsidP="008F6BC1">
      <w:pPr>
        <w:pStyle w:val="NormalArial"/>
        <w:jc w:val="both"/>
      </w:pPr>
    </w:p>
    <w:p w14:paraId="5A3C0C4A" w14:textId="5ED2B854" w:rsidR="001039CA" w:rsidRDefault="0061075C" w:rsidP="001039CA">
      <w:pPr>
        <w:pStyle w:val="xmsonormal"/>
        <w:spacing w:before="0" w:beforeAutospacing="0" w:after="0" w:afterAutospacing="0"/>
        <w:jc w:val="both"/>
        <w:rPr>
          <w:rFonts w:ascii="Arial" w:hAnsi="Arial" w:cs="Arial"/>
          <w:color w:val="000000"/>
        </w:rPr>
      </w:pPr>
      <w:r>
        <w:rPr>
          <w:rFonts w:ascii="Arial" w:hAnsi="Arial" w:cs="Arial"/>
          <w:color w:val="000000"/>
        </w:rPr>
        <w:t xml:space="preserve">If ERCOT’s current hourly clearing design and penalty structure for non-performance applicable to all Resources is insufficient to ensure that ERCOT can meet operational reliability goals, then the </w:t>
      </w:r>
      <w:r>
        <w:rPr>
          <w:rFonts w:ascii="Arial" w:hAnsi="Arial" w:cs="Arial"/>
          <w:i/>
          <w:iCs/>
          <w:color w:val="000000"/>
        </w:rPr>
        <w:t>entirety</w:t>
      </w:r>
      <w:r>
        <w:rPr>
          <w:rFonts w:ascii="Arial" w:hAnsi="Arial" w:cs="Arial"/>
          <w:color w:val="000000"/>
        </w:rPr>
        <w:t xml:space="preserve"> of ERCOT’s structure and Protocols should be eval</w:t>
      </w:r>
      <w:r>
        <w:rPr>
          <w:rFonts w:ascii="Arial" w:hAnsi="Arial" w:cs="Arial"/>
          <w:color w:val="000000"/>
        </w:rPr>
        <w:t>uated to ensure that all Resources are held to such enhanced standards. ESRs should be held accountable as any other Resource type for performing during a given one-hour interval in which they have cleared, not for meeting an arbitrary standard that will p</w:t>
      </w:r>
      <w:r>
        <w:rPr>
          <w:rFonts w:ascii="Arial" w:hAnsi="Arial" w:cs="Arial"/>
          <w:color w:val="000000"/>
        </w:rPr>
        <w:t xml:space="preserve">enalize an ESR for </w:t>
      </w:r>
      <w:proofErr w:type="gramStart"/>
      <w:r>
        <w:rPr>
          <w:rFonts w:ascii="Arial" w:hAnsi="Arial" w:cs="Arial"/>
          <w:color w:val="000000"/>
        </w:rPr>
        <w:t>actually providing</w:t>
      </w:r>
      <w:proofErr w:type="gramEnd"/>
      <w:r>
        <w:rPr>
          <w:rFonts w:ascii="Arial" w:hAnsi="Arial" w:cs="Arial"/>
          <w:color w:val="000000"/>
        </w:rPr>
        <w:t xml:space="preserve"> the Ancillary Service or moving its obligation to another </w:t>
      </w:r>
      <w:r w:rsidR="00FB39FB">
        <w:rPr>
          <w:rFonts w:ascii="Arial" w:hAnsi="Arial" w:cs="Arial"/>
          <w:color w:val="000000"/>
        </w:rPr>
        <w:t>Resource.</w:t>
      </w:r>
    </w:p>
    <w:p w14:paraId="35315D92" w14:textId="41DF82E7" w:rsidR="001039CA" w:rsidRDefault="001039CA" w:rsidP="001039CA">
      <w:pPr>
        <w:pStyle w:val="xmsonormal"/>
        <w:spacing w:before="0" w:beforeAutospacing="0" w:after="0" w:afterAutospacing="0"/>
        <w:jc w:val="both"/>
        <w:rPr>
          <w:rFonts w:ascii="Arial" w:hAnsi="Arial" w:cs="Arial"/>
          <w:color w:val="000000"/>
        </w:rPr>
      </w:pPr>
    </w:p>
    <w:p w14:paraId="085C5E52" w14:textId="77777777" w:rsidR="00AE18AE" w:rsidRDefault="0061075C">
      <w:pPr>
        <w:rPr>
          <w:rFonts w:ascii="Arial" w:hAnsi="Arial" w:cs="Arial"/>
          <w:b/>
          <w:bCs/>
          <w:color w:val="000000"/>
          <w:u w:val="single"/>
        </w:rPr>
      </w:pPr>
      <w:r>
        <w:rPr>
          <w:rFonts w:ascii="Arial" w:hAnsi="Arial" w:cs="Arial"/>
          <w:b/>
          <w:bCs/>
          <w:color w:val="000000"/>
          <w:u w:val="single"/>
        </w:rPr>
        <w:br w:type="page"/>
      </w:r>
    </w:p>
    <w:p w14:paraId="6AB6D799" w14:textId="77777777" w:rsidR="00914B74" w:rsidRDefault="0061075C" w:rsidP="0086451E">
      <w:pPr>
        <w:jc w:val="both"/>
        <w:rPr>
          <w:rFonts w:ascii="Arial" w:hAnsi="Arial" w:cs="Arial"/>
          <w:color w:val="000000"/>
        </w:rPr>
      </w:pPr>
      <w:r>
        <w:rPr>
          <w:rFonts w:ascii="Arial" w:hAnsi="Arial" w:cs="Arial"/>
          <w:b/>
          <w:bCs/>
          <w:color w:val="000000"/>
          <w:u w:val="single"/>
        </w:rPr>
        <w:lastRenderedPageBreak/>
        <w:t>Ancillary Service Limits on ESRs</w:t>
      </w:r>
    </w:p>
    <w:p w14:paraId="3782A47E" w14:textId="77777777" w:rsidR="00914B74" w:rsidRPr="00914B74" w:rsidRDefault="00914B74" w:rsidP="0086451E">
      <w:pPr>
        <w:jc w:val="both"/>
        <w:rPr>
          <w:rFonts w:ascii="Arial" w:hAnsi="Arial" w:cs="Arial"/>
          <w:color w:val="000000"/>
        </w:rPr>
      </w:pPr>
    </w:p>
    <w:p w14:paraId="24F8E920" w14:textId="25EC0635" w:rsidR="0086451E" w:rsidRDefault="0061075C" w:rsidP="0086451E">
      <w:pPr>
        <w:jc w:val="both"/>
        <w:rPr>
          <w:rFonts w:ascii="Arial" w:hAnsi="Arial" w:cs="Arial"/>
          <w:color w:val="000000"/>
        </w:rPr>
      </w:pPr>
      <w:r w:rsidRPr="007E3ABB">
        <w:rPr>
          <w:rFonts w:ascii="Arial" w:hAnsi="Arial" w:cs="Arial"/>
          <w:color w:val="000000"/>
        </w:rPr>
        <w:t xml:space="preserve">ERCOT’s comments of September 19 also suggest that </w:t>
      </w:r>
      <w:r w:rsidR="00E5156F" w:rsidRPr="007E3ABB">
        <w:rPr>
          <w:rFonts w:ascii="Arial" w:hAnsi="Arial" w:cs="Arial"/>
          <w:color w:val="000000"/>
        </w:rPr>
        <w:t xml:space="preserve">ERCOT may pursue system-level limits on the </w:t>
      </w:r>
      <w:proofErr w:type="gramStart"/>
      <w:r w:rsidR="00E5156F" w:rsidRPr="007E3ABB">
        <w:rPr>
          <w:rFonts w:ascii="Arial" w:hAnsi="Arial" w:cs="Arial"/>
          <w:color w:val="000000"/>
        </w:rPr>
        <w:t>amount</w:t>
      </w:r>
      <w:proofErr w:type="gramEnd"/>
      <w:r w:rsidR="00E5156F" w:rsidRPr="007E3ABB">
        <w:rPr>
          <w:rFonts w:ascii="Arial" w:hAnsi="Arial" w:cs="Arial"/>
          <w:color w:val="000000"/>
        </w:rPr>
        <w:t xml:space="preserve"> of Ancillary Services ESRs are allowed to provide to the market as well as a possibly increase in the quantity of certain Ancillary Services.</w:t>
      </w:r>
      <w:r>
        <w:rPr>
          <w:rFonts w:ascii="Arial" w:hAnsi="Arial" w:cs="Arial"/>
          <w:color w:val="000000"/>
        </w:rPr>
        <w:t xml:space="preserve"> Specifically, </w:t>
      </w:r>
    </w:p>
    <w:p w14:paraId="388FED80" w14:textId="77777777" w:rsidR="0086451E" w:rsidRDefault="0086451E" w:rsidP="0086451E">
      <w:pPr>
        <w:jc w:val="both"/>
        <w:rPr>
          <w:rFonts w:ascii="Arial" w:hAnsi="Arial" w:cs="Arial"/>
          <w:color w:val="000000"/>
        </w:rPr>
      </w:pPr>
    </w:p>
    <w:p w14:paraId="6CEF24E1" w14:textId="4C22A8C9" w:rsidR="0086451E" w:rsidRPr="0086451E" w:rsidRDefault="0061075C" w:rsidP="0086451E">
      <w:pPr>
        <w:ind w:left="1440" w:right="1440"/>
        <w:jc w:val="both"/>
        <w:rPr>
          <w:rFonts w:ascii="Arial" w:hAnsi="Arial" w:cs="Arial"/>
          <w:sz w:val="22"/>
          <w:szCs w:val="22"/>
        </w:rPr>
      </w:pPr>
      <w:r w:rsidRPr="0086451E">
        <w:rPr>
          <w:rFonts w:ascii="Arial" w:hAnsi="Arial" w:cs="Arial"/>
          <w:color w:val="000000"/>
          <w:sz w:val="22"/>
          <w:szCs w:val="22"/>
        </w:rPr>
        <w:t xml:space="preserve">If ERCOT observes significant non-compliance, an additional NPRR may be needed to impose </w:t>
      </w:r>
      <w:r w:rsidRPr="0086451E">
        <w:rPr>
          <w:rFonts w:ascii="Arial" w:hAnsi="Arial" w:cs="Arial"/>
          <w:color w:val="000000"/>
          <w:sz w:val="22"/>
          <w:szCs w:val="22"/>
        </w:rPr>
        <w:t>system-level limits on the amount of [Ancillary Services—i.e.,] Responsive Reserve (RRS), ECRS, and Non-Spin that ESRs are permitted to provide.</w:t>
      </w:r>
      <w:r w:rsidR="00914B74">
        <w:rPr>
          <w:rFonts w:ascii="Arial" w:hAnsi="Arial" w:cs="Arial"/>
          <w:color w:val="000000"/>
          <w:sz w:val="22"/>
          <w:szCs w:val="22"/>
        </w:rPr>
        <w:t xml:space="preserve"> </w:t>
      </w:r>
      <w:r w:rsidRPr="0086451E">
        <w:rPr>
          <w:rFonts w:ascii="Arial" w:hAnsi="Arial" w:cs="Arial"/>
          <w:color w:val="000000"/>
          <w:sz w:val="22"/>
          <w:szCs w:val="22"/>
        </w:rPr>
        <w:t xml:space="preserve">ERCOT may also need to increase the quantities of certain Ancillary Services to mitigate risks associated with </w:t>
      </w:r>
      <w:r w:rsidRPr="0086451E">
        <w:rPr>
          <w:rFonts w:ascii="Arial" w:hAnsi="Arial" w:cs="Arial"/>
          <w:color w:val="000000"/>
          <w:sz w:val="22"/>
          <w:szCs w:val="22"/>
        </w:rPr>
        <w:t>ESRs carrying the same type of Ancillary Service for several consecutive hours.</w:t>
      </w:r>
      <w:r>
        <w:rPr>
          <w:rStyle w:val="FootnoteReference"/>
          <w:rFonts w:ascii="Arial" w:hAnsi="Arial" w:cs="Arial"/>
          <w:sz w:val="22"/>
          <w:szCs w:val="22"/>
        </w:rPr>
        <w:footnoteReference w:id="9"/>
      </w:r>
      <w:r w:rsidRPr="0086451E">
        <w:rPr>
          <w:rFonts w:ascii="Arial" w:hAnsi="Arial" w:cs="Arial"/>
          <w:sz w:val="22"/>
          <w:szCs w:val="22"/>
        </w:rPr>
        <w:t xml:space="preserve"> </w:t>
      </w:r>
    </w:p>
    <w:p w14:paraId="3C129394" w14:textId="77777777" w:rsidR="0086451E" w:rsidRDefault="0086451E" w:rsidP="0086451E">
      <w:pPr>
        <w:jc w:val="both"/>
      </w:pPr>
    </w:p>
    <w:p w14:paraId="55273ED6" w14:textId="1390FBA5" w:rsidR="008662E2" w:rsidRPr="0086451E" w:rsidRDefault="0061075C" w:rsidP="0086451E">
      <w:pPr>
        <w:jc w:val="both"/>
      </w:pPr>
      <w:r w:rsidRPr="007E3ABB">
        <w:rPr>
          <w:rFonts w:ascii="Arial" w:hAnsi="Arial" w:cs="Arial"/>
          <w:color w:val="000000"/>
        </w:rPr>
        <w:t>Eolian notes that these significant policy discussions should be made at the PUCT after careful consideration and analysis and following the holistic review of Ancillary Se</w:t>
      </w:r>
      <w:r w:rsidRPr="007E3ABB">
        <w:rPr>
          <w:rFonts w:ascii="Arial" w:hAnsi="Arial" w:cs="Arial"/>
          <w:color w:val="000000"/>
        </w:rPr>
        <w:t>rvices that has been suggested at prior PUCT Open Meetings.</w:t>
      </w:r>
    </w:p>
    <w:p w14:paraId="47B35E22" w14:textId="77777777" w:rsidR="008662E2" w:rsidRDefault="008662E2" w:rsidP="001039CA">
      <w:pPr>
        <w:pStyle w:val="xmsonormal"/>
        <w:spacing w:before="0" w:beforeAutospacing="0" w:after="0" w:afterAutospacing="0"/>
        <w:jc w:val="both"/>
        <w:rPr>
          <w:rFonts w:ascii="Arial" w:hAnsi="Arial" w:cs="Arial"/>
          <w:color w:val="000000"/>
          <w:u w:val="single"/>
        </w:rPr>
      </w:pPr>
    </w:p>
    <w:p w14:paraId="7F11629E" w14:textId="77777777" w:rsidR="00AE18AE" w:rsidRDefault="00AE18AE" w:rsidP="00AE18AE">
      <w:pPr>
        <w:pStyle w:val="NormalArial"/>
        <w:jc w:val="center"/>
        <w:rPr>
          <w:rFonts w:cs="Arial"/>
          <w:b/>
          <w:bCs/>
        </w:rPr>
      </w:pPr>
    </w:p>
    <w:p w14:paraId="5144BE1C" w14:textId="7401AB31" w:rsidR="00390A98" w:rsidRDefault="0061075C" w:rsidP="00AE18AE">
      <w:pPr>
        <w:pStyle w:val="NormalArial"/>
        <w:jc w:val="center"/>
        <w:rPr>
          <w:rFonts w:cs="Arial"/>
          <w:b/>
          <w:bCs/>
        </w:rPr>
      </w:pPr>
      <w:r>
        <w:rPr>
          <w:rFonts w:cs="Arial"/>
          <w:b/>
          <w:bCs/>
        </w:rPr>
        <w:t>Conclusion</w:t>
      </w:r>
    </w:p>
    <w:p w14:paraId="553E1B3A" w14:textId="77777777" w:rsidR="00390A98" w:rsidRPr="00745AE9" w:rsidRDefault="00390A98" w:rsidP="00745AE9">
      <w:pPr>
        <w:pStyle w:val="NormalArial"/>
        <w:jc w:val="center"/>
        <w:rPr>
          <w:rFonts w:cs="Arial"/>
          <w:b/>
          <w:bCs/>
        </w:rPr>
      </w:pPr>
    </w:p>
    <w:p w14:paraId="4AA76A51" w14:textId="59015649" w:rsidR="00312762" w:rsidRDefault="0061075C" w:rsidP="00FB17E2">
      <w:pPr>
        <w:pStyle w:val="NormalArial"/>
        <w:jc w:val="both"/>
        <w:rPr>
          <w:rFonts w:cs="Arial"/>
        </w:rPr>
      </w:pPr>
      <w:r>
        <w:rPr>
          <w:rFonts w:cs="Arial"/>
        </w:rPr>
        <w:t xml:space="preserve">Eolian appreciates the progress indicated </w:t>
      </w:r>
      <w:r w:rsidR="00452605">
        <w:rPr>
          <w:rFonts w:cs="Arial"/>
        </w:rPr>
        <w:t>by ERCOT’s</w:t>
      </w:r>
      <w:r>
        <w:rPr>
          <w:rFonts w:cs="Arial"/>
        </w:rPr>
        <w:t xml:space="preserve"> latest comments, as it is a step toward addressing the issue of stranded capacity. However, </w:t>
      </w:r>
      <w:r w:rsidR="009E1E6D">
        <w:rPr>
          <w:rFonts w:cs="Arial"/>
        </w:rPr>
        <w:t>NPRR1186 continues to impose</w:t>
      </w:r>
      <w:r w:rsidR="00C33823">
        <w:rPr>
          <w:rFonts w:cs="Arial"/>
        </w:rPr>
        <w:t xml:space="preserve"> discriminatory compliance provisions, which clearly run afoul of PURA</w:t>
      </w:r>
      <w:r w:rsidR="008876C1">
        <w:rPr>
          <w:rFonts w:cs="Arial"/>
        </w:rPr>
        <w:t xml:space="preserve"> and will require further action if </w:t>
      </w:r>
      <w:r w:rsidR="00212DED">
        <w:rPr>
          <w:rFonts w:cs="Arial"/>
        </w:rPr>
        <w:t xml:space="preserve">TAC votes to recommend approval of </w:t>
      </w:r>
      <w:r w:rsidR="008876C1">
        <w:rPr>
          <w:rFonts w:cs="Arial"/>
        </w:rPr>
        <w:t>NPRR1186</w:t>
      </w:r>
      <w:r w:rsidR="00212DED">
        <w:rPr>
          <w:rFonts w:cs="Arial"/>
        </w:rPr>
        <w:t xml:space="preserve"> in its current form (as considered by the ERCOT Board on August 30 and 31, 2023) or as proposed by ERCOT in its September 19, </w:t>
      </w:r>
      <w:proofErr w:type="gramStart"/>
      <w:r w:rsidR="00212DED">
        <w:rPr>
          <w:rFonts w:cs="Arial"/>
        </w:rPr>
        <w:t>2023</w:t>
      </w:r>
      <w:proofErr w:type="gramEnd"/>
      <w:r w:rsidR="00212DED">
        <w:rPr>
          <w:rFonts w:cs="Arial"/>
        </w:rPr>
        <w:t xml:space="preserve"> comments.</w:t>
      </w:r>
    </w:p>
    <w:p w14:paraId="23581759" w14:textId="77777777" w:rsidR="00AE18AE" w:rsidRDefault="00AE18AE" w:rsidP="00FB17E2">
      <w:pPr>
        <w:pStyle w:val="NormalArial"/>
        <w:jc w:val="both"/>
        <w:rPr>
          <w:rFonts w:cs="Arial"/>
        </w:rPr>
      </w:pPr>
    </w:p>
    <w:p w14:paraId="1DCDE4EC" w14:textId="77777777" w:rsidR="009F07FF" w:rsidRPr="00350AF0" w:rsidRDefault="009F07FF" w:rsidP="00FB17E2">
      <w:pPr>
        <w:pStyle w:val="NormalArial"/>
        <w:jc w:val="both"/>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D36B6" w14:paraId="152D6A19" w14:textId="77777777" w:rsidTr="00B5080A">
        <w:trPr>
          <w:trHeight w:val="350"/>
        </w:trPr>
        <w:tc>
          <w:tcPr>
            <w:tcW w:w="10440" w:type="dxa"/>
            <w:tcBorders>
              <w:bottom w:val="single" w:sz="4" w:space="0" w:color="auto"/>
            </w:tcBorders>
            <w:shd w:val="clear" w:color="auto" w:fill="FFFFFF"/>
            <w:vAlign w:val="center"/>
          </w:tcPr>
          <w:p w14:paraId="1D59B2CF" w14:textId="77777777" w:rsidR="00BD7258" w:rsidRPr="00350AF0" w:rsidRDefault="0061075C" w:rsidP="00B5080A">
            <w:pPr>
              <w:pStyle w:val="Header"/>
              <w:jc w:val="center"/>
              <w:rPr>
                <w:rFonts w:cs="Arial"/>
              </w:rPr>
            </w:pPr>
            <w:r w:rsidRPr="00350AF0">
              <w:rPr>
                <w:rFonts w:cs="Arial"/>
              </w:rPr>
              <w:t>Revised Cover Page Language</w:t>
            </w:r>
          </w:p>
        </w:tc>
      </w:tr>
    </w:tbl>
    <w:p w14:paraId="0A4BEBB8" w14:textId="77777777" w:rsidR="00E07B54" w:rsidRPr="00350AF0" w:rsidRDefault="00E07B54">
      <w:pPr>
        <w:pStyle w:val="NormalArial"/>
        <w:rPr>
          <w:rFonts w:cs="Arial"/>
        </w:rPr>
      </w:pPr>
    </w:p>
    <w:p w14:paraId="1D9EB2E2" w14:textId="77777777" w:rsidR="00152993" w:rsidRPr="00350AF0" w:rsidRDefault="0061075C">
      <w:pPr>
        <w:pStyle w:val="NormalArial"/>
        <w:rPr>
          <w:rFonts w:cs="Arial"/>
        </w:rPr>
      </w:pPr>
      <w:r w:rsidRPr="00350AF0">
        <w:rPr>
          <w:rFonts w:cs="Arial"/>
        </w:rPr>
        <w:t>None</w:t>
      </w:r>
    </w:p>
    <w:p w14:paraId="6C41550D" w14:textId="77777777" w:rsidR="00BD7258" w:rsidRPr="00350AF0" w:rsidRDefault="00BD7258">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D36B6" w14:paraId="565B4A2C" w14:textId="77777777">
        <w:trPr>
          <w:trHeight w:val="350"/>
        </w:trPr>
        <w:tc>
          <w:tcPr>
            <w:tcW w:w="10440" w:type="dxa"/>
            <w:tcBorders>
              <w:bottom w:val="single" w:sz="4" w:space="0" w:color="auto"/>
            </w:tcBorders>
            <w:shd w:val="clear" w:color="auto" w:fill="FFFFFF"/>
            <w:vAlign w:val="center"/>
          </w:tcPr>
          <w:p w14:paraId="4AF93B0D" w14:textId="77777777" w:rsidR="00152993" w:rsidRPr="00350AF0" w:rsidRDefault="0061075C">
            <w:pPr>
              <w:pStyle w:val="Header"/>
              <w:jc w:val="center"/>
              <w:rPr>
                <w:rFonts w:cs="Arial"/>
              </w:rPr>
            </w:pPr>
            <w:r w:rsidRPr="00350AF0">
              <w:rPr>
                <w:rFonts w:cs="Arial"/>
              </w:rPr>
              <w:t>Revised Proposed Protocol Language</w:t>
            </w:r>
          </w:p>
        </w:tc>
      </w:tr>
    </w:tbl>
    <w:p w14:paraId="07395BC5" w14:textId="77777777" w:rsidR="00081E47" w:rsidRPr="00350AF0" w:rsidRDefault="00081E47" w:rsidP="00081E47">
      <w:pPr>
        <w:pStyle w:val="NormalArial"/>
        <w:rPr>
          <w:rFonts w:cs="Arial"/>
        </w:rPr>
      </w:pPr>
    </w:p>
    <w:p w14:paraId="274EFCF4" w14:textId="1AE7B3CE" w:rsidR="00152993" w:rsidRPr="00350AF0" w:rsidRDefault="0061075C" w:rsidP="0068169A">
      <w:pPr>
        <w:pStyle w:val="NormalArial"/>
      </w:pPr>
      <w:r w:rsidRPr="00350AF0">
        <w:rPr>
          <w:rFonts w:cs="Arial"/>
        </w:rPr>
        <w:t>None</w:t>
      </w:r>
    </w:p>
    <w:sectPr w:rsidR="00152993" w:rsidRPr="00350AF0" w:rsidSect="0074209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268E" w14:textId="77777777" w:rsidR="00000000" w:rsidRDefault="0061075C">
      <w:r>
        <w:separator/>
      </w:r>
    </w:p>
  </w:endnote>
  <w:endnote w:type="continuationSeparator" w:id="0">
    <w:p w14:paraId="7A6B75FB" w14:textId="77777777" w:rsidR="00000000" w:rsidRDefault="0061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285E" w14:textId="77777777" w:rsidR="00166477" w:rsidRDefault="0016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B3B8" w14:textId="56C46838" w:rsidR="00EE6681" w:rsidRDefault="0061075C"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17E6B">
      <w:rPr>
        <w:rFonts w:ascii="Arial" w:hAnsi="Arial"/>
        <w:noProof/>
        <w:sz w:val="18"/>
      </w:rPr>
      <w:t>1186NPRR-</w:t>
    </w:r>
    <w:r w:rsidR="00693390">
      <w:rPr>
        <w:rFonts w:ascii="Arial" w:hAnsi="Arial"/>
        <w:noProof/>
        <w:sz w:val="18"/>
      </w:rPr>
      <w:t>29</w:t>
    </w:r>
    <w:r w:rsidR="00A17E6B">
      <w:rPr>
        <w:rFonts w:ascii="Arial" w:hAnsi="Arial"/>
        <w:noProof/>
        <w:sz w:val="18"/>
      </w:rPr>
      <w:t xml:space="preserve"> Eolian Comments 0</w:t>
    </w:r>
    <w:r w:rsidR="00693390">
      <w:rPr>
        <w:rFonts w:ascii="Arial" w:hAnsi="Arial"/>
        <w:noProof/>
        <w:sz w:val="18"/>
      </w:rPr>
      <w:t>925</w:t>
    </w:r>
    <w:r w:rsidR="00A17E6B">
      <w:rPr>
        <w:rFonts w:ascii="Arial" w:hAnsi="Arial"/>
        <w:noProof/>
        <w:sz w:val="18"/>
      </w:rPr>
      <w:t>23</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54496F09" w14:textId="77777777" w:rsidR="00EE6681" w:rsidRDefault="0061075C"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F587" w14:textId="77777777" w:rsidR="00166477" w:rsidRDefault="0016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1697" w14:textId="77777777" w:rsidR="004311FF" w:rsidRDefault="0061075C">
      <w:r>
        <w:separator/>
      </w:r>
    </w:p>
  </w:footnote>
  <w:footnote w:type="continuationSeparator" w:id="0">
    <w:p w14:paraId="099C1C7E" w14:textId="77777777" w:rsidR="004311FF" w:rsidRDefault="0061075C">
      <w:r>
        <w:continuationSeparator/>
      </w:r>
    </w:p>
  </w:footnote>
  <w:footnote w:id="1">
    <w:p w14:paraId="08DD9B97" w14:textId="2F273FA1" w:rsidR="000D5E22" w:rsidRPr="00A806CE" w:rsidRDefault="0061075C" w:rsidP="006B4272">
      <w:pPr>
        <w:pStyle w:val="FootnoteText"/>
        <w:rPr>
          <w:rFonts w:cs="Arial"/>
        </w:rPr>
      </w:pPr>
      <w:r w:rsidRPr="00A806CE">
        <w:rPr>
          <w:rStyle w:val="FootnoteReference"/>
          <w:rFonts w:cs="Arial"/>
        </w:rPr>
        <w:footnoteRef/>
      </w:r>
      <w:r w:rsidRPr="00A806CE">
        <w:rPr>
          <w:rFonts w:cs="Arial"/>
        </w:rPr>
        <w:t xml:space="preserve"> </w:t>
      </w:r>
      <w:r w:rsidRPr="00A806CE">
        <w:rPr>
          <w:rFonts w:cs="Arial"/>
          <w:i/>
          <w:iCs/>
        </w:rPr>
        <w:t>See</w:t>
      </w:r>
      <w:r w:rsidRPr="00A806CE">
        <w:rPr>
          <w:rFonts w:cs="Arial"/>
        </w:rPr>
        <w:t xml:space="preserve"> </w:t>
      </w:r>
      <w:hyperlink r:id="rId1" w:history="1">
        <w:r w:rsidRPr="00A806CE">
          <w:rPr>
            <w:rStyle w:val="Hyperlink"/>
            <w:rFonts w:cs="Arial"/>
          </w:rPr>
          <w:t>1186NPRR-03 Eolian Comments</w:t>
        </w:r>
      </w:hyperlink>
      <w:r w:rsidRPr="00A806CE">
        <w:rPr>
          <w:rFonts w:cs="Arial"/>
        </w:rPr>
        <w:t xml:space="preserve"> (Jul. 6, 2023)</w:t>
      </w:r>
      <w:r w:rsidR="0068169A">
        <w:rPr>
          <w:rFonts w:cs="Arial"/>
        </w:rPr>
        <w:t>;</w:t>
      </w:r>
      <w:r w:rsidRPr="00A806CE">
        <w:rPr>
          <w:rFonts w:cs="Arial"/>
        </w:rPr>
        <w:t xml:space="preserve"> </w:t>
      </w:r>
      <w:hyperlink r:id="rId2" w:history="1">
        <w:r w:rsidRPr="00A806CE">
          <w:rPr>
            <w:rStyle w:val="Hyperlink"/>
            <w:rFonts w:cs="Arial"/>
          </w:rPr>
          <w:t>1186NPRR-11 Joint Commenters Comments</w:t>
        </w:r>
      </w:hyperlink>
      <w:r w:rsidRPr="00A806CE">
        <w:rPr>
          <w:rFonts w:cs="Arial"/>
        </w:rPr>
        <w:t xml:space="preserve"> (by Eolian and Plus Power) (Aug. 9, 2023</w:t>
      </w:r>
      <w:r w:rsidR="0068169A" w:rsidRPr="00A806CE">
        <w:rPr>
          <w:rFonts w:cs="Arial"/>
        </w:rPr>
        <w:t>)</w:t>
      </w:r>
      <w:r w:rsidR="0068169A">
        <w:rPr>
          <w:rFonts w:cs="Arial"/>
        </w:rPr>
        <w:t>;</w:t>
      </w:r>
      <w:r w:rsidR="0068169A" w:rsidRPr="00A806CE">
        <w:rPr>
          <w:rFonts w:cs="Arial"/>
        </w:rPr>
        <w:t xml:space="preserve"> </w:t>
      </w:r>
      <w:hyperlink r:id="rId3" w:history="1">
        <w:r w:rsidRPr="00A806CE">
          <w:rPr>
            <w:rStyle w:val="Hyperlink"/>
            <w:rFonts w:cs="Arial"/>
          </w:rPr>
          <w:t>1186NPRR-17 Joint Commenters Comments</w:t>
        </w:r>
      </w:hyperlink>
      <w:r w:rsidRPr="00A806CE">
        <w:rPr>
          <w:rFonts w:cs="Arial"/>
        </w:rPr>
        <w:t xml:space="preserve"> (by Eolian, Plus Power, and Jupiter Power) (</w:t>
      </w:r>
      <w:r w:rsidR="00B13F46" w:rsidRPr="00A806CE">
        <w:rPr>
          <w:rFonts w:cs="Arial"/>
        </w:rPr>
        <w:t>Aug. 21, 2023</w:t>
      </w:r>
      <w:r w:rsidR="0068169A" w:rsidRPr="00A806CE">
        <w:rPr>
          <w:rFonts w:cs="Arial"/>
        </w:rPr>
        <w:t>)</w:t>
      </w:r>
      <w:r w:rsidR="0068169A">
        <w:rPr>
          <w:rFonts w:cs="Arial"/>
        </w:rPr>
        <w:t>;</w:t>
      </w:r>
      <w:r w:rsidR="0068169A" w:rsidRPr="00A806CE">
        <w:rPr>
          <w:rFonts w:cs="Arial"/>
        </w:rPr>
        <w:t xml:space="preserve"> </w:t>
      </w:r>
      <w:hyperlink r:id="rId4" w:history="1">
        <w:r w:rsidR="00B13F46" w:rsidRPr="00A806CE">
          <w:rPr>
            <w:rStyle w:val="Hyperlink"/>
            <w:rFonts w:cs="Arial"/>
          </w:rPr>
          <w:t>1186NPRR-20 Eolian TAC Recommendation Opposition</w:t>
        </w:r>
      </w:hyperlink>
      <w:r w:rsidR="00B13F46" w:rsidRPr="00A806CE">
        <w:rPr>
          <w:rFonts w:cs="Arial"/>
        </w:rPr>
        <w:t xml:space="preserve"> (Aug. 24, 2023)</w:t>
      </w:r>
      <w:r w:rsidR="0068169A">
        <w:rPr>
          <w:rFonts w:cs="Arial"/>
        </w:rPr>
        <w:t>;</w:t>
      </w:r>
      <w:r w:rsidR="00B13F46" w:rsidRPr="00A806CE">
        <w:rPr>
          <w:rFonts w:cs="Arial"/>
        </w:rPr>
        <w:t xml:space="preserve"> and this set of comments (Sept. </w:t>
      </w:r>
      <w:r w:rsidR="00914B74">
        <w:rPr>
          <w:rFonts w:cs="Arial"/>
        </w:rPr>
        <w:t>25</w:t>
      </w:r>
      <w:r w:rsidR="00B13F46" w:rsidRPr="00A806CE">
        <w:rPr>
          <w:rFonts w:cs="Arial"/>
        </w:rPr>
        <w:t>, 2023).</w:t>
      </w:r>
    </w:p>
  </w:footnote>
  <w:footnote w:id="2">
    <w:p w14:paraId="57008943" w14:textId="4B78F7A0" w:rsidR="0068169A" w:rsidRDefault="0061075C" w:rsidP="006B4272">
      <w:pPr>
        <w:pStyle w:val="FootnoteText"/>
        <w:tabs>
          <w:tab w:val="left" w:pos="4883"/>
        </w:tabs>
        <w:rPr>
          <w:rFonts w:cs="Arial"/>
        </w:rPr>
      </w:pPr>
      <w:r w:rsidRPr="00A806CE">
        <w:rPr>
          <w:rStyle w:val="FootnoteReference"/>
          <w:rFonts w:cs="Arial"/>
        </w:rPr>
        <w:footnoteRef/>
      </w:r>
      <w:r w:rsidRPr="00A806CE">
        <w:rPr>
          <w:rFonts w:cs="Arial"/>
        </w:rPr>
        <w:t xml:space="preserve"> </w:t>
      </w:r>
      <w:bookmarkStart w:id="4" w:name="OLE_LINK43"/>
      <w:r w:rsidRPr="00A806CE">
        <w:rPr>
          <w:rFonts w:cs="Arial"/>
        </w:rPr>
        <w:t>NPRR1186, ERCOT Comments</w:t>
      </w:r>
      <w:r>
        <w:rPr>
          <w:rFonts w:cs="Arial"/>
        </w:rPr>
        <w:t xml:space="preserve"> at </w:t>
      </w:r>
      <w:r w:rsidRPr="00A806CE">
        <w:rPr>
          <w:rFonts w:cs="Arial"/>
        </w:rPr>
        <w:t>2 (Sept. 19, 2023)</w:t>
      </w:r>
      <w:r>
        <w:rPr>
          <w:rFonts w:cs="Arial"/>
        </w:rPr>
        <w:t>,</w:t>
      </w:r>
      <w:r w:rsidR="00914B74">
        <w:rPr>
          <w:rFonts w:cs="Arial"/>
        </w:rPr>
        <w:t xml:space="preserve"> available at</w:t>
      </w:r>
    </w:p>
    <w:p w14:paraId="3B158204" w14:textId="779E70EF" w:rsidR="006B4272" w:rsidRPr="00A806CE" w:rsidRDefault="0061075C" w:rsidP="006B4272">
      <w:pPr>
        <w:pStyle w:val="FootnoteText"/>
        <w:tabs>
          <w:tab w:val="left" w:pos="4883"/>
        </w:tabs>
        <w:rPr>
          <w:rFonts w:cs="Arial"/>
        </w:rPr>
      </w:pPr>
      <w:hyperlink r:id="rId5" w:history="1">
        <w:r w:rsidR="0068169A" w:rsidRPr="0068169A">
          <w:rPr>
            <w:rStyle w:val="Hyperlink"/>
            <w:rFonts w:cs="Arial"/>
          </w:rPr>
          <w:t>https://www.ercot.com/files/docs/2023/09/19/1186NPRR-27%20ERCOT%20Comments%20091923.docx</w:t>
        </w:r>
      </w:hyperlink>
      <w:r w:rsidR="00377216" w:rsidRPr="00A806CE">
        <w:rPr>
          <w:rFonts w:cs="Arial"/>
        </w:rPr>
        <w:t xml:space="preserve">. </w:t>
      </w:r>
      <w:bookmarkEnd w:id="4"/>
    </w:p>
  </w:footnote>
  <w:footnote w:id="3">
    <w:p w14:paraId="6F5CAB69" w14:textId="4793C6A4" w:rsidR="00AE18AE" w:rsidRDefault="0061075C" w:rsidP="00AE18AE">
      <w:pPr>
        <w:pStyle w:val="FootnoteText"/>
        <w:tabs>
          <w:tab w:val="left" w:pos="4883"/>
        </w:tabs>
        <w:rPr>
          <w:rFonts w:cs="Arial"/>
        </w:rPr>
      </w:pPr>
      <w:r>
        <w:rPr>
          <w:rStyle w:val="FootnoteReference"/>
        </w:rPr>
        <w:footnoteRef/>
      </w:r>
      <w:r>
        <w:t xml:space="preserve"> </w:t>
      </w:r>
      <w:r>
        <w:rPr>
          <w:rFonts w:cs="Arial"/>
        </w:rPr>
        <w:t>NPRR1186, ERCOT Comments at 1 (Sept. 19, 2023), available at</w:t>
      </w:r>
    </w:p>
    <w:p w14:paraId="28C80144" w14:textId="5128CB9C" w:rsidR="00AE18AE" w:rsidRDefault="0061075C" w:rsidP="00AE18AE">
      <w:pPr>
        <w:pStyle w:val="FootnoteText"/>
      </w:pPr>
      <w:hyperlink r:id="rId6" w:history="1">
        <w:r>
          <w:rPr>
            <w:rStyle w:val="Hyperlink"/>
            <w:rFonts w:cs="Arial"/>
          </w:rPr>
          <w:t>https://www.ercot.com/files/docs/2023/09</w:t>
        </w:r>
        <w:r>
          <w:rPr>
            <w:rStyle w:val="Hyperlink"/>
            <w:rFonts w:cs="Arial"/>
          </w:rPr>
          <w:t>/19/1186NPRR-27%20ERCOT%20Comments%20091923.docx</w:t>
        </w:r>
      </w:hyperlink>
      <w:r>
        <w:rPr>
          <w:rFonts w:cs="Arial"/>
        </w:rPr>
        <w:t>.</w:t>
      </w:r>
    </w:p>
  </w:footnote>
  <w:footnote w:id="4">
    <w:p w14:paraId="60F2ACC6" w14:textId="17098A6F" w:rsidR="00A806CE" w:rsidRDefault="0061075C">
      <w:pPr>
        <w:pStyle w:val="FootnoteText"/>
      </w:pPr>
      <w:r>
        <w:rPr>
          <w:rStyle w:val="FootnoteReference"/>
        </w:rPr>
        <w:footnoteRef/>
      </w:r>
      <w:r>
        <w:t xml:space="preserve"> ERCOT Nodal Protocols, Section 6.4.9.1.3, Replacement of Ancillary Service Due to Failure to Provide (Aug. 1, 2023); ERCOT Nodal Protocols, Section 6.7.3, Charges for An</w:t>
      </w:r>
      <w:r>
        <w:t>cillary Service Capacity Replaced Due to Failure to Provide (Aug. 1, 2023).</w:t>
      </w:r>
    </w:p>
  </w:footnote>
  <w:footnote w:id="5">
    <w:p w14:paraId="0AB8F691" w14:textId="445211E1" w:rsidR="006B4272" w:rsidRPr="00A806CE" w:rsidRDefault="0061075C">
      <w:pPr>
        <w:pStyle w:val="FootnoteText"/>
        <w:rPr>
          <w:rFonts w:cs="Arial"/>
        </w:rPr>
      </w:pPr>
      <w:r w:rsidRPr="00A806CE">
        <w:rPr>
          <w:rStyle w:val="FootnoteReference"/>
          <w:rFonts w:cs="Arial"/>
        </w:rPr>
        <w:footnoteRef/>
      </w:r>
      <w:r w:rsidRPr="00A806CE">
        <w:rPr>
          <w:rFonts w:cs="Arial"/>
        </w:rPr>
        <w:t xml:space="preserve"> </w:t>
      </w:r>
      <w:r w:rsidR="00A806CE">
        <w:rPr>
          <w:rFonts w:cs="Arial"/>
        </w:rPr>
        <w:t xml:space="preserve">Public Utility Regulatory Act, Tex. Util Code § </w:t>
      </w:r>
      <w:r w:rsidR="008F6BC1" w:rsidRPr="00A806CE">
        <w:rPr>
          <w:rFonts w:cs="Arial"/>
        </w:rPr>
        <w:t>35.004(f)</w:t>
      </w:r>
      <w:r w:rsidR="00A806CE">
        <w:rPr>
          <w:rFonts w:cs="Arial"/>
        </w:rPr>
        <w:t xml:space="preserve"> (PURA)</w:t>
      </w:r>
      <w:r w:rsidR="008F6BC1" w:rsidRPr="00A806CE">
        <w:rPr>
          <w:rFonts w:cs="Arial"/>
        </w:rPr>
        <w:t>.</w:t>
      </w:r>
    </w:p>
  </w:footnote>
  <w:footnote w:id="6">
    <w:p w14:paraId="5B7C8512" w14:textId="0C9EF504" w:rsidR="0068169A" w:rsidRDefault="0061075C">
      <w:pPr>
        <w:pStyle w:val="FootnoteText"/>
      </w:pPr>
      <w:r>
        <w:rPr>
          <w:rStyle w:val="FootnoteReference"/>
        </w:rPr>
        <w:footnoteRef/>
      </w:r>
      <w:r>
        <w:t xml:space="preserve"> ERCOT Nodal Protocols, Section 6.4.9.1.3, Replacement of Ancillary Service Due to Failure to Provide (Aug. 1, 2023); ERCOT Nodal Protocols, Section 6.7.3, Charges for Ancillary Service Capacity Replaced Due to Failure to Provide (Aug. 1, 2023).</w:t>
      </w:r>
    </w:p>
  </w:footnote>
  <w:footnote w:id="7">
    <w:p w14:paraId="1C4259D5" w14:textId="40569725" w:rsidR="008F6BC1" w:rsidRPr="00A806CE" w:rsidRDefault="0061075C">
      <w:pPr>
        <w:pStyle w:val="FootnoteText"/>
        <w:rPr>
          <w:rFonts w:cs="Arial"/>
        </w:rPr>
      </w:pPr>
      <w:r w:rsidRPr="00A806CE">
        <w:rPr>
          <w:rStyle w:val="FootnoteReference"/>
          <w:rFonts w:cs="Arial"/>
        </w:rPr>
        <w:footnoteRef/>
      </w:r>
      <w:r w:rsidRPr="00A806CE">
        <w:rPr>
          <w:rFonts w:cs="Arial"/>
        </w:rPr>
        <w:t xml:space="preserve"> </w:t>
      </w:r>
      <w:r w:rsidR="0068169A">
        <w:rPr>
          <w:rFonts w:cs="Arial"/>
        </w:rPr>
        <w:t>PURA § 35.004(f).</w:t>
      </w:r>
    </w:p>
  </w:footnote>
  <w:footnote w:id="8">
    <w:p w14:paraId="5D5831F6" w14:textId="77777777" w:rsidR="008F6BC1" w:rsidRPr="00A806CE" w:rsidRDefault="0061075C" w:rsidP="008F6BC1">
      <w:pPr>
        <w:pStyle w:val="FootnoteText"/>
        <w:rPr>
          <w:rFonts w:cs="Arial"/>
        </w:rPr>
      </w:pPr>
      <w:r w:rsidRPr="00A806CE">
        <w:rPr>
          <w:rStyle w:val="FootnoteReference"/>
          <w:rFonts w:cs="Arial"/>
        </w:rPr>
        <w:footnoteRef/>
      </w:r>
      <w:r w:rsidRPr="00A806CE">
        <w:rPr>
          <w:rFonts w:cs="Arial"/>
        </w:rPr>
        <w:t xml:space="preserve"> </w:t>
      </w:r>
      <w:r w:rsidRPr="00A806CE">
        <w:rPr>
          <w:rFonts w:cs="Arial"/>
          <w:i/>
          <w:iCs/>
        </w:rPr>
        <w:t>Id.</w:t>
      </w:r>
    </w:p>
  </w:footnote>
  <w:footnote w:id="9">
    <w:p w14:paraId="5954DA01" w14:textId="5B5BCCA1" w:rsidR="0086451E" w:rsidRDefault="0061075C" w:rsidP="0086451E">
      <w:pPr>
        <w:pStyle w:val="FootnoteText"/>
        <w:tabs>
          <w:tab w:val="left" w:pos="4883"/>
        </w:tabs>
        <w:rPr>
          <w:rFonts w:cs="Arial"/>
        </w:rPr>
      </w:pPr>
      <w:r>
        <w:rPr>
          <w:rStyle w:val="FootnoteReference"/>
          <w:rFonts w:cs="Arial"/>
        </w:rPr>
        <w:footnoteRef/>
      </w:r>
      <w:r>
        <w:rPr>
          <w:rFonts w:cs="Arial"/>
        </w:rPr>
        <w:t xml:space="preserve"> NPRR1186, ERCOT Comments at 2 (Sept. 19, 2023),</w:t>
      </w:r>
      <w:r w:rsidR="00914B74">
        <w:rPr>
          <w:rFonts w:cs="Arial"/>
        </w:rPr>
        <w:t xml:space="preserve"> available at</w:t>
      </w:r>
    </w:p>
    <w:p w14:paraId="273C3FB1" w14:textId="77777777" w:rsidR="0086451E" w:rsidRDefault="0061075C" w:rsidP="0086451E">
      <w:pPr>
        <w:pStyle w:val="FootnoteText"/>
        <w:tabs>
          <w:tab w:val="left" w:pos="4883"/>
        </w:tabs>
        <w:rPr>
          <w:rFonts w:cs="Arial"/>
        </w:rPr>
      </w:pPr>
      <w:hyperlink r:id="rId7" w:history="1">
        <w:r w:rsidR="00377216">
          <w:rPr>
            <w:rStyle w:val="Hyperlink"/>
            <w:rFonts w:cs="Arial"/>
          </w:rPr>
          <w:t>https://www.ercot.com/files/docs/2023/09/19/1186NPRR-27%20ERCOT%20Comments%20091923.docx</w:t>
        </w:r>
      </w:hyperlink>
      <w:r w:rsidR="00377216">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BD3A" w14:textId="77777777" w:rsidR="00166477" w:rsidRDefault="00166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5775" w14:textId="77777777" w:rsidR="00EE6681" w:rsidRDefault="0061075C">
    <w:pPr>
      <w:pStyle w:val="Header"/>
      <w:jc w:val="center"/>
      <w:rPr>
        <w:sz w:val="32"/>
      </w:rPr>
    </w:pPr>
    <w:r>
      <w:rPr>
        <w:sz w:val="32"/>
      </w:rPr>
      <w:t xml:space="preserve">NPRR </w:t>
    </w:r>
    <w:r>
      <w:rPr>
        <w:sz w:val="32"/>
      </w:rPr>
      <w:t>Comments</w:t>
    </w:r>
  </w:p>
  <w:p w14:paraId="553DE00C" w14:textId="77777777" w:rsidR="00EE6681" w:rsidRDefault="00EE6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5B22" w14:textId="77777777" w:rsidR="00166477" w:rsidRDefault="00166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D54F3F"/>
    <w:multiLevelType w:val="hybridMultilevel"/>
    <w:tmpl w:val="8D9297F0"/>
    <w:lvl w:ilvl="0" w:tplc="2D3CC226">
      <w:start w:val="1"/>
      <w:numFmt w:val="decimal"/>
      <w:lvlText w:val="(%1)"/>
      <w:lvlJc w:val="left"/>
      <w:pPr>
        <w:ind w:left="720" w:hanging="360"/>
      </w:pPr>
      <w:rPr>
        <w:rFonts w:hint="default"/>
      </w:rPr>
    </w:lvl>
    <w:lvl w:ilvl="1" w:tplc="ABBAA360" w:tentative="1">
      <w:start w:val="1"/>
      <w:numFmt w:val="lowerLetter"/>
      <w:lvlText w:val="%2."/>
      <w:lvlJc w:val="left"/>
      <w:pPr>
        <w:ind w:left="1440" w:hanging="360"/>
      </w:pPr>
    </w:lvl>
    <w:lvl w:ilvl="2" w:tplc="2B7A5CC6" w:tentative="1">
      <w:start w:val="1"/>
      <w:numFmt w:val="lowerRoman"/>
      <w:lvlText w:val="%3."/>
      <w:lvlJc w:val="right"/>
      <w:pPr>
        <w:ind w:left="2160" w:hanging="180"/>
      </w:pPr>
    </w:lvl>
    <w:lvl w:ilvl="3" w:tplc="A0EC02A2" w:tentative="1">
      <w:start w:val="1"/>
      <w:numFmt w:val="decimal"/>
      <w:lvlText w:val="%4."/>
      <w:lvlJc w:val="left"/>
      <w:pPr>
        <w:ind w:left="2880" w:hanging="360"/>
      </w:pPr>
    </w:lvl>
    <w:lvl w:ilvl="4" w:tplc="5F9C3B1A" w:tentative="1">
      <w:start w:val="1"/>
      <w:numFmt w:val="lowerLetter"/>
      <w:lvlText w:val="%5."/>
      <w:lvlJc w:val="left"/>
      <w:pPr>
        <w:ind w:left="3600" w:hanging="360"/>
      </w:pPr>
    </w:lvl>
    <w:lvl w:ilvl="5" w:tplc="D9D2023C" w:tentative="1">
      <w:start w:val="1"/>
      <w:numFmt w:val="lowerRoman"/>
      <w:lvlText w:val="%6."/>
      <w:lvlJc w:val="right"/>
      <w:pPr>
        <w:ind w:left="4320" w:hanging="180"/>
      </w:pPr>
    </w:lvl>
    <w:lvl w:ilvl="6" w:tplc="0C64A9A0" w:tentative="1">
      <w:start w:val="1"/>
      <w:numFmt w:val="decimal"/>
      <w:lvlText w:val="%7."/>
      <w:lvlJc w:val="left"/>
      <w:pPr>
        <w:ind w:left="5040" w:hanging="360"/>
      </w:pPr>
    </w:lvl>
    <w:lvl w:ilvl="7" w:tplc="03CC0DAE" w:tentative="1">
      <w:start w:val="1"/>
      <w:numFmt w:val="lowerLetter"/>
      <w:lvlText w:val="%8."/>
      <w:lvlJc w:val="left"/>
      <w:pPr>
        <w:ind w:left="5760" w:hanging="360"/>
      </w:pPr>
    </w:lvl>
    <w:lvl w:ilvl="8" w:tplc="23F82B30" w:tentative="1">
      <w:start w:val="1"/>
      <w:numFmt w:val="lowerRoman"/>
      <w:lvlText w:val="%9."/>
      <w:lvlJc w:val="right"/>
      <w:pPr>
        <w:ind w:left="6480" w:hanging="180"/>
      </w:pPr>
    </w:lvl>
  </w:abstractNum>
  <w:abstractNum w:abstractNumId="2" w15:restartNumberingAfterBreak="0">
    <w:nsid w:val="1638076A"/>
    <w:multiLevelType w:val="hybridMultilevel"/>
    <w:tmpl w:val="F560EDA4"/>
    <w:lvl w:ilvl="0" w:tplc="978AF60A">
      <w:start w:val="1"/>
      <w:numFmt w:val="decimal"/>
      <w:lvlText w:val="(%1)"/>
      <w:lvlJc w:val="left"/>
      <w:pPr>
        <w:ind w:left="720" w:hanging="360"/>
      </w:pPr>
      <w:rPr>
        <w:rFonts w:hint="default"/>
      </w:rPr>
    </w:lvl>
    <w:lvl w:ilvl="1" w:tplc="6706DE1E" w:tentative="1">
      <w:start w:val="1"/>
      <w:numFmt w:val="lowerLetter"/>
      <w:lvlText w:val="%2."/>
      <w:lvlJc w:val="left"/>
      <w:pPr>
        <w:ind w:left="1440" w:hanging="360"/>
      </w:pPr>
    </w:lvl>
    <w:lvl w:ilvl="2" w:tplc="DD48A8B2" w:tentative="1">
      <w:start w:val="1"/>
      <w:numFmt w:val="lowerRoman"/>
      <w:lvlText w:val="%3."/>
      <w:lvlJc w:val="right"/>
      <w:pPr>
        <w:ind w:left="2160" w:hanging="180"/>
      </w:pPr>
    </w:lvl>
    <w:lvl w:ilvl="3" w:tplc="55AC266C" w:tentative="1">
      <w:start w:val="1"/>
      <w:numFmt w:val="decimal"/>
      <w:lvlText w:val="%4."/>
      <w:lvlJc w:val="left"/>
      <w:pPr>
        <w:ind w:left="2880" w:hanging="360"/>
      </w:pPr>
    </w:lvl>
    <w:lvl w:ilvl="4" w:tplc="56323EEE" w:tentative="1">
      <w:start w:val="1"/>
      <w:numFmt w:val="lowerLetter"/>
      <w:lvlText w:val="%5."/>
      <w:lvlJc w:val="left"/>
      <w:pPr>
        <w:ind w:left="3600" w:hanging="360"/>
      </w:pPr>
    </w:lvl>
    <w:lvl w:ilvl="5" w:tplc="79845C1C" w:tentative="1">
      <w:start w:val="1"/>
      <w:numFmt w:val="lowerRoman"/>
      <w:lvlText w:val="%6."/>
      <w:lvlJc w:val="right"/>
      <w:pPr>
        <w:ind w:left="4320" w:hanging="180"/>
      </w:pPr>
    </w:lvl>
    <w:lvl w:ilvl="6" w:tplc="F9781552" w:tentative="1">
      <w:start w:val="1"/>
      <w:numFmt w:val="decimal"/>
      <w:lvlText w:val="%7."/>
      <w:lvlJc w:val="left"/>
      <w:pPr>
        <w:ind w:left="5040" w:hanging="360"/>
      </w:pPr>
    </w:lvl>
    <w:lvl w:ilvl="7" w:tplc="66BEFC3E" w:tentative="1">
      <w:start w:val="1"/>
      <w:numFmt w:val="lowerLetter"/>
      <w:lvlText w:val="%8."/>
      <w:lvlJc w:val="left"/>
      <w:pPr>
        <w:ind w:left="5760" w:hanging="360"/>
      </w:pPr>
    </w:lvl>
    <w:lvl w:ilvl="8" w:tplc="5E9E5C22" w:tentative="1">
      <w:start w:val="1"/>
      <w:numFmt w:val="lowerRoman"/>
      <w:lvlText w:val="%9."/>
      <w:lvlJc w:val="right"/>
      <w:pPr>
        <w:ind w:left="6480" w:hanging="180"/>
      </w:pPr>
    </w:lvl>
  </w:abstractNum>
  <w:abstractNum w:abstractNumId="3" w15:restartNumberingAfterBreak="0">
    <w:nsid w:val="16614623"/>
    <w:multiLevelType w:val="hybridMultilevel"/>
    <w:tmpl w:val="D74AC61E"/>
    <w:lvl w:ilvl="0" w:tplc="1B3AE930">
      <w:start w:val="1"/>
      <w:numFmt w:val="lowerLetter"/>
      <w:lvlText w:val="%1."/>
      <w:lvlJc w:val="left"/>
      <w:pPr>
        <w:ind w:left="720" w:hanging="360"/>
      </w:pPr>
    </w:lvl>
    <w:lvl w:ilvl="1" w:tplc="8BB0885A">
      <w:start w:val="1"/>
      <w:numFmt w:val="lowerLetter"/>
      <w:lvlText w:val="%2."/>
      <w:lvlJc w:val="left"/>
      <w:pPr>
        <w:ind w:left="1440" w:hanging="360"/>
      </w:pPr>
    </w:lvl>
    <w:lvl w:ilvl="2" w:tplc="4692CD0A" w:tentative="1">
      <w:start w:val="1"/>
      <w:numFmt w:val="lowerRoman"/>
      <w:lvlText w:val="%3."/>
      <w:lvlJc w:val="right"/>
      <w:pPr>
        <w:ind w:left="2160" w:hanging="180"/>
      </w:pPr>
    </w:lvl>
    <w:lvl w:ilvl="3" w:tplc="7160CE8A" w:tentative="1">
      <w:start w:val="1"/>
      <w:numFmt w:val="decimal"/>
      <w:lvlText w:val="%4."/>
      <w:lvlJc w:val="left"/>
      <w:pPr>
        <w:ind w:left="2880" w:hanging="360"/>
      </w:pPr>
    </w:lvl>
    <w:lvl w:ilvl="4" w:tplc="20ACBE64" w:tentative="1">
      <w:start w:val="1"/>
      <w:numFmt w:val="lowerLetter"/>
      <w:lvlText w:val="%5."/>
      <w:lvlJc w:val="left"/>
      <w:pPr>
        <w:ind w:left="3600" w:hanging="360"/>
      </w:pPr>
    </w:lvl>
    <w:lvl w:ilvl="5" w:tplc="BCE4201A" w:tentative="1">
      <w:start w:val="1"/>
      <w:numFmt w:val="lowerRoman"/>
      <w:lvlText w:val="%6."/>
      <w:lvlJc w:val="right"/>
      <w:pPr>
        <w:ind w:left="4320" w:hanging="180"/>
      </w:pPr>
    </w:lvl>
    <w:lvl w:ilvl="6" w:tplc="ED20AA88" w:tentative="1">
      <w:start w:val="1"/>
      <w:numFmt w:val="decimal"/>
      <w:lvlText w:val="%7."/>
      <w:lvlJc w:val="left"/>
      <w:pPr>
        <w:ind w:left="5040" w:hanging="360"/>
      </w:pPr>
    </w:lvl>
    <w:lvl w:ilvl="7" w:tplc="99AE5334" w:tentative="1">
      <w:start w:val="1"/>
      <w:numFmt w:val="lowerLetter"/>
      <w:lvlText w:val="%8."/>
      <w:lvlJc w:val="left"/>
      <w:pPr>
        <w:ind w:left="5760" w:hanging="360"/>
      </w:pPr>
    </w:lvl>
    <w:lvl w:ilvl="8" w:tplc="6DA24264" w:tentative="1">
      <w:start w:val="1"/>
      <w:numFmt w:val="lowerRoman"/>
      <w:lvlText w:val="%9."/>
      <w:lvlJc w:val="right"/>
      <w:pPr>
        <w:ind w:left="6480" w:hanging="180"/>
      </w:pPr>
    </w:lvl>
  </w:abstractNum>
  <w:abstractNum w:abstractNumId="4" w15:restartNumberingAfterBreak="0">
    <w:nsid w:val="1A321A24"/>
    <w:multiLevelType w:val="hybridMultilevel"/>
    <w:tmpl w:val="458C9B06"/>
    <w:lvl w:ilvl="0" w:tplc="141850A0">
      <w:start w:val="1"/>
      <w:numFmt w:val="upperRoman"/>
      <w:lvlText w:val="%1."/>
      <w:lvlJc w:val="left"/>
      <w:pPr>
        <w:ind w:left="1080" w:hanging="720"/>
      </w:pPr>
      <w:rPr>
        <w:rFonts w:hint="default"/>
        <w:b/>
        <w:bCs w:val="0"/>
      </w:rPr>
    </w:lvl>
    <w:lvl w:ilvl="1" w:tplc="8FCACC62" w:tentative="1">
      <w:start w:val="1"/>
      <w:numFmt w:val="lowerLetter"/>
      <w:lvlText w:val="%2."/>
      <w:lvlJc w:val="left"/>
      <w:pPr>
        <w:ind w:left="1440" w:hanging="360"/>
      </w:pPr>
    </w:lvl>
    <w:lvl w:ilvl="2" w:tplc="6870186A" w:tentative="1">
      <w:start w:val="1"/>
      <w:numFmt w:val="lowerRoman"/>
      <w:lvlText w:val="%3."/>
      <w:lvlJc w:val="right"/>
      <w:pPr>
        <w:ind w:left="2160" w:hanging="180"/>
      </w:pPr>
    </w:lvl>
    <w:lvl w:ilvl="3" w:tplc="222C67AE" w:tentative="1">
      <w:start w:val="1"/>
      <w:numFmt w:val="decimal"/>
      <w:lvlText w:val="%4."/>
      <w:lvlJc w:val="left"/>
      <w:pPr>
        <w:ind w:left="2880" w:hanging="360"/>
      </w:pPr>
    </w:lvl>
    <w:lvl w:ilvl="4" w:tplc="E76845B0" w:tentative="1">
      <w:start w:val="1"/>
      <w:numFmt w:val="lowerLetter"/>
      <w:lvlText w:val="%5."/>
      <w:lvlJc w:val="left"/>
      <w:pPr>
        <w:ind w:left="3600" w:hanging="360"/>
      </w:pPr>
    </w:lvl>
    <w:lvl w:ilvl="5" w:tplc="F4FAA87C" w:tentative="1">
      <w:start w:val="1"/>
      <w:numFmt w:val="lowerRoman"/>
      <w:lvlText w:val="%6."/>
      <w:lvlJc w:val="right"/>
      <w:pPr>
        <w:ind w:left="4320" w:hanging="180"/>
      </w:pPr>
    </w:lvl>
    <w:lvl w:ilvl="6" w:tplc="3BC45EBE" w:tentative="1">
      <w:start w:val="1"/>
      <w:numFmt w:val="decimal"/>
      <w:lvlText w:val="%7."/>
      <w:lvlJc w:val="left"/>
      <w:pPr>
        <w:ind w:left="5040" w:hanging="360"/>
      </w:pPr>
    </w:lvl>
    <w:lvl w:ilvl="7" w:tplc="1096BC4E" w:tentative="1">
      <w:start w:val="1"/>
      <w:numFmt w:val="lowerLetter"/>
      <w:lvlText w:val="%8."/>
      <w:lvlJc w:val="left"/>
      <w:pPr>
        <w:ind w:left="5760" w:hanging="360"/>
      </w:pPr>
    </w:lvl>
    <w:lvl w:ilvl="8" w:tplc="A3265250" w:tentative="1">
      <w:start w:val="1"/>
      <w:numFmt w:val="lowerRoman"/>
      <w:lvlText w:val="%9."/>
      <w:lvlJc w:val="right"/>
      <w:pPr>
        <w:ind w:left="6480" w:hanging="180"/>
      </w:pPr>
    </w:lvl>
  </w:abstractNum>
  <w:abstractNum w:abstractNumId="5" w15:restartNumberingAfterBreak="0">
    <w:nsid w:val="1E0C7265"/>
    <w:multiLevelType w:val="hybridMultilevel"/>
    <w:tmpl w:val="3D4CFD20"/>
    <w:lvl w:ilvl="0" w:tplc="72BE3E70">
      <w:start w:val="1"/>
      <w:numFmt w:val="decimal"/>
      <w:lvlText w:val="%1."/>
      <w:lvlJc w:val="left"/>
      <w:pPr>
        <w:ind w:left="720" w:hanging="360"/>
      </w:pPr>
    </w:lvl>
    <w:lvl w:ilvl="1" w:tplc="A462F07C">
      <w:start w:val="1"/>
      <w:numFmt w:val="lowerLetter"/>
      <w:lvlText w:val="%2."/>
      <w:lvlJc w:val="left"/>
      <w:pPr>
        <w:ind w:left="1440" w:hanging="360"/>
      </w:pPr>
    </w:lvl>
    <w:lvl w:ilvl="2" w:tplc="7904EACC">
      <w:start w:val="1"/>
      <w:numFmt w:val="bullet"/>
      <w:lvlRestart w:val="0"/>
      <w:lvlText w:val=""/>
      <w:lvlJc w:val="left"/>
      <w:pPr>
        <w:ind w:left="2160" w:hanging="180"/>
      </w:pPr>
      <w:rPr>
        <w:rFonts w:ascii="Symbol" w:hAnsi="Symbol" w:hint="default"/>
      </w:rPr>
    </w:lvl>
    <w:lvl w:ilvl="3" w:tplc="4642B434">
      <w:start w:val="1"/>
      <w:numFmt w:val="decimal"/>
      <w:lvlText w:val="%4."/>
      <w:lvlJc w:val="left"/>
      <w:pPr>
        <w:ind w:left="2880" w:hanging="360"/>
      </w:pPr>
    </w:lvl>
    <w:lvl w:ilvl="4" w:tplc="CFC8EAFE" w:tentative="1">
      <w:start w:val="1"/>
      <w:numFmt w:val="lowerLetter"/>
      <w:lvlText w:val="%5."/>
      <w:lvlJc w:val="left"/>
      <w:pPr>
        <w:ind w:left="3600" w:hanging="360"/>
      </w:pPr>
    </w:lvl>
    <w:lvl w:ilvl="5" w:tplc="BD08576C" w:tentative="1">
      <w:start w:val="1"/>
      <w:numFmt w:val="lowerRoman"/>
      <w:lvlText w:val="%6."/>
      <w:lvlJc w:val="right"/>
      <w:pPr>
        <w:ind w:left="4320" w:hanging="180"/>
      </w:pPr>
    </w:lvl>
    <w:lvl w:ilvl="6" w:tplc="42A2CF68" w:tentative="1">
      <w:start w:val="1"/>
      <w:numFmt w:val="decimal"/>
      <w:lvlText w:val="%7."/>
      <w:lvlJc w:val="left"/>
      <w:pPr>
        <w:ind w:left="5040" w:hanging="360"/>
      </w:pPr>
    </w:lvl>
    <w:lvl w:ilvl="7" w:tplc="47E69F1C" w:tentative="1">
      <w:start w:val="1"/>
      <w:numFmt w:val="lowerLetter"/>
      <w:lvlText w:val="%8."/>
      <w:lvlJc w:val="left"/>
      <w:pPr>
        <w:ind w:left="5760" w:hanging="360"/>
      </w:pPr>
    </w:lvl>
    <w:lvl w:ilvl="8" w:tplc="9C1665CC" w:tentative="1">
      <w:start w:val="1"/>
      <w:numFmt w:val="lowerRoman"/>
      <w:lvlText w:val="%9."/>
      <w:lvlJc w:val="right"/>
      <w:pPr>
        <w:ind w:left="6480" w:hanging="180"/>
      </w:pPr>
    </w:lvl>
  </w:abstractNum>
  <w:abstractNum w:abstractNumId="6" w15:restartNumberingAfterBreak="0">
    <w:nsid w:val="203F39A2"/>
    <w:multiLevelType w:val="hybridMultilevel"/>
    <w:tmpl w:val="5A26C0B4"/>
    <w:lvl w:ilvl="0" w:tplc="6910F2B8">
      <w:start w:val="1"/>
      <w:numFmt w:val="decimal"/>
      <w:lvlText w:val="(%1)"/>
      <w:lvlJc w:val="left"/>
      <w:pPr>
        <w:ind w:left="720" w:hanging="360"/>
      </w:pPr>
      <w:rPr>
        <w:rFonts w:hint="default"/>
      </w:rPr>
    </w:lvl>
    <w:lvl w:ilvl="1" w:tplc="3FF40762" w:tentative="1">
      <w:start w:val="1"/>
      <w:numFmt w:val="lowerLetter"/>
      <w:lvlText w:val="%2."/>
      <w:lvlJc w:val="left"/>
      <w:pPr>
        <w:ind w:left="1440" w:hanging="360"/>
      </w:pPr>
    </w:lvl>
    <w:lvl w:ilvl="2" w:tplc="A1FCD492" w:tentative="1">
      <w:start w:val="1"/>
      <w:numFmt w:val="lowerRoman"/>
      <w:lvlText w:val="%3."/>
      <w:lvlJc w:val="right"/>
      <w:pPr>
        <w:ind w:left="2160" w:hanging="180"/>
      </w:pPr>
    </w:lvl>
    <w:lvl w:ilvl="3" w:tplc="6B6C9BE0" w:tentative="1">
      <w:start w:val="1"/>
      <w:numFmt w:val="decimal"/>
      <w:lvlText w:val="%4."/>
      <w:lvlJc w:val="left"/>
      <w:pPr>
        <w:ind w:left="2880" w:hanging="360"/>
      </w:pPr>
    </w:lvl>
    <w:lvl w:ilvl="4" w:tplc="71D2F742" w:tentative="1">
      <w:start w:val="1"/>
      <w:numFmt w:val="lowerLetter"/>
      <w:lvlText w:val="%5."/>
      <w:lvlJc w:val="left"/>
      <w:pPr>
        <w:ind w:left="3600" w:hanging="360"/>
      </w:pPr>
    </w:lvl>
    <w:lvl w:ilvl="5" w:tplc="4C48B958" w:tentative="1">
      <w:start w:val="1"/>
      <w:numFmt w:val="lowerRoman"/>
      <w:lvlText w:val="%6."/>
      <w:lvlJc w:val="right"/>
      <w:pPr>
        <w:ind w:left="4320" w:hanging="180"/>
      </w:pPr>
    </w:lvl>
    <w:lvl w:ilvl="6" w:tplc="EF38D42E" w:tentative="1">
      <w:start w:val="1"/>
      <w:numFmt w:val="decimal"/>
      <w:lvlText w:val="%7."/>
      <w:lvlJc w:val="left"/>
      <w:pPr>
        <w:ind w:left="5040" w:hanging="360"/>
      </w:pPr>
    </w:lvl>
    <w:lvl w:ilvl="7" w:tplc="A39E6A10" w:tentative="1">
      <w:start w:val="1"/>
      <w:numFmt w:val="lowerLetter"/>
      <w:lvlText w:val="%8."/>
      <w:lvlJc w:val="left"/>
      <w:pPr>
        <w:ind w:left="5760" w:hanging="360"/>
      </w:pPr>
    </w:lvl>
    <w:lvl w:ilvl="8" w:tplc="87AC59DC" w:tentative="1">
      <w:start w:val="1"/>
      <w:numFmt w:val="lowerRoman"/>
      <w:lvlText w:val="%9."/>
      <w:lvlJc w:val="right"/>
      <w:pPr>
        <w:ind w:left="6480" w:hanging="180"/>
      </w:pPr>
    </w:lvl>
  </w:abstractNum>
  <w:abstractNum w:abstractNumId="7" w15:restartNumberingAfterBreak="0">
    <w:nsid w:val="253640DF"/>
    <w:multiLevelType w:val="hybridMultilevel"/>
    <w:tmpl w:val="C7849AD6"/>
    <w:lvl w:ilvl="0" w:tplc="681EA6C0">
      <w:start w:val="1"/>
      <w:numFmt w:val="decimal"/>
      <w:lvlText w:val="(%1)"/>
      <w:lvlJc w:val="left"/>
      <w:pPr>
        <w:ind w:left="1510" w:hanging="790"/>
      </w:pPr>
      <w:rPr>
        <w:rFonts w:hint="default"/>
      </w:rPr>
    </w:lvl>
    <w:lvl w:ilvl="1" w:tplc="BDE81900" w:tentative="1">
      <w:start w:val="1"/>
      <w:numFmt w:val="lowerLetter"/>
      <w:lvlText w:val="%2."/>
      <w:lvlJc w:val="left"/>
      <w:pPr>
        <w:ind w:left="1800" w:hanging="360"/>
      </w:pPr>
    </w:lvl>
    <w:lvl w:ilvl="2" w:tplc="5908DFC2" w:tentative="1">
      <w:start w:val="1"/>
      <w:numFmt w:val="lowerRoman"/>
      <w:lvlText w:val="%3."/>
      <w:lvlJc w:val="right"/>
      <w:pPr>
        <w:ind w:left="2520" w:hanging="180"/>
      </w:pPr>
    </w:lvl>
    <w:lvl w:ilvl="3" w:tplc="9A82061A" w:tentative="1">
      <w:start w:val="1"/>
      <w:numFmt w:val="decimal"/>
      <w:lvlText w:val="%4."/>
      <w:lvlJc w:val="left"/>
      <w:pPr>
        <w:ind w:left="3240" w:hanging="360"/>
      </w:pPr>
    </w:lvl>
    <w:lvl w:ilvl="4" w:tplc="4C3E7FD8" w:tentative="1">
      <w:start w:val="1"/>
      <w:numFmt w:val="lowerLetter"/>
      <w:lvlText w:val="%5."/>
      <w:lvlJc w:val="left"/>
      <w:pPr>
        <w:ind w:left="3960" w:hanging="360"/>
      </w:pPr>
    </w:lvl>
    <w:lvl w:ilvl="5" w:tplc="07280E06" w:tentative="1">
      <w:start w:val="1"/>
      <w:numFmt w:val="lowerRoman"/>
      <w:lvlText w:val="%6."/>
      <w:lvlJc w:val="right"/>
      <w:pPr>
        <w:ind w:left="4680" w:hanging="180"/>
      </w:pPr>
    </w:lvl>
    <w:lvl w:ilvl="6" w:tplc="63007A30" w:tentative="1">
      <w:start w:val="1"/>
      <w:numFmt w:val="decimal"/>
      <w:lvlText w:val="%7."/>
      <w:lvlJc w:val="left"/>
      <w:pPr>
        <w:ind w:left="5400" w:hanging="360"/>
      </w:pPr>
    </w:lvl>
    <w:lvl w:ilvl="7" w:tplc="F89648FE" w:tentative="1">
      <w:start w:val="1"/>
      <w:numFmt w:val="lowerLetter"/>
      <w:lvlText w:val="%8."/>
      <w:lvlJc w:val="left"/>
      <w:pPr>
        <w:ind w:left="6120" w:hanging="360"/>
      </w:pPr>
    </w:lvl>
    <w:lvl w:ilvl="8" w:tplc="B6A8C496" w:tentative="1">
      <w:start w:val="1"/>
      <w:numFmt w:val="lowerRoman"/>
      <w:lvlText w:val="%9."/>
      <w:lvlJc w:val="right"/>
      <w:pPr>
        <w:ind w:left="6840" w:hanging="180"/>
      </w:pPr>
    </w:lvl>
  </w:abstractNum>
  <w:abstractNum w:abstractNumId="8" w15:restartNumberingAfterBreak="0">
    <w:nsid w:val="4EBC57CF"/>
    <w:multiLevelType w:val="hybridMultilevel"/>
    <w:tmpl w:val="DD268FBE"/>
    <w:lvl w:ilvl="0" w:tplc="ACF6E9C4">
      <w:start w:val="1"/>
      <w:numFmt w:val="lowerRoman"/>
      <w:lvlText w:val="%1."/>
      <w:lvlJc w:val="left"/>
      <w:pPr>
        <w:ind w:left="1080" w:hanging="720"/>
      </w:pPr>
      <w:rPr>
        <w:rFonts w:hint="default"/>
      </w:rPr>
    </w:lvl>
    <w:lvl w:ilvl="1" w:tplc="924849EC" w:tentative="1">
      <w:start w:val="1"/>
      <w:numFmt w:val="lowerLetter"/>
      <w:lvlText w:val="%2."/>
      <w:lvlJc w:val="left"/>
      <w:pPr>
        <w:ind w:left="1440" w:hanging="360"/>
      </w:pPr>
    </w:lvl>
    <w:lvl w:ilvl="2" w:tplc="4896F77E" w:tentative="1">
      <w:start w:val="1"/>
      <w:numFmt w:val="lowerRoman"/>
      <w:lvlText w:val="%3."/>
      <w:lvlJc w:val="right"/>
      <w:pPr>
        <w:ind w:left="2160" w:hanging="180"/>
      </w:pPr>
    </w:lvl>
    <w:lvl w:ilvl="3" w:tplc="337C9582" w:tentative="1">
      <w:start w:val="1"/>
      <w:numFmt w:val="decimal"/>
      <w:lvlText w:val="%4."/>
      <w:lvlJc w:val="left"/>
      <w:pPr>
        <w:ind w:left="2880" w:hanging="360"/>
      </w:pPr>
    </w:lvl>
    <w:lvl w:ilvl="4" w:tplc="10D03F22" w:tentative="1">
      <w:start w:val="1"/>
      <w:numFmt w:val="lowerLetter"/>
      <w:lvlText w:val="%5."/>
      <w:lvlJc w:val="left"/>
      <w:pPr>
        <w:ind w:left="3600" w:hanging="360"/>
      </w:pPr>
    </w:lvl>
    <w:lvl w:ilvl="5" w:tplc="785CC986" w:tentative="1">
      <w:start w:val="1"/>
      <w:numFmt w:val="lowerRoman"/>
      <w:lvlText w:val="%6."/>
      <w:lvlJc w:val="right"/>
      <w:pPr>
        <w:ind w:left="4320" w:hanging="180"/>
      </w:pPr>
    </w:lvl>
    <w:lvl w:ilvl="6" w:tplc="AE1AA78A" w:tentative="1">
      <w:start w:val="1"/>
      <w:numFmt w:val="decimal"/>
      <w:lvlText w:val="%7."/>
      <w:lvlJc w:val="left"/>
      <w:pPr>
        <w:ind w:left="5040" w:hanging="360"/>
      </w:pPr>
    </w:lvl>
    <w:lvl w:ilvl="7" w:tplc="F7B68290" w:tentative="1">
      <w:start w:val="1"/>
      <w:numFmt w:val="lowerLetter"/>
      <w:lvlText w:val="%8."/>
      <w:lvlJc w:val="left"/>
      <w:pPr>
        <w:ind w:left="5760" w:hanging="360"/>
      </w:pPr>
    </w:lvl>
    <w:lvl w:ilvl="8" w:tplc="2F30AC8E" w:tentative="1">
      <w:start w:val="1"/>
      <w:numFmt w:val="lowerRoman"/>
      <w:lvlText w:val="%9."/>
      <w:lvlJc w:val="right"/>
      <w:pPr>
        <w:ind w:left="6480" w:hanging="180"/>
      </w:pPr>
    </w:lvl>
  </w:abstractNum>
  <w:abstractNum w:abstractNumId="9" w15:restartNumberingAfterBreak="0">
    <w:nsid w:val="5DBD53C9"/>
    <w:multiLevelType w:val="hybridMultilevel"/>
    <w:tmpl w:val="B142E1EC"/>
    <w:lvl w:ilvl="0" w:tplc="6CE28DE8">
      <w:start w:val="1"/>
      <w:numFmt w:val="decimal"/>
      <w:lvlText w:val="(%1)"/>
      <w:lvlJc w:val="left"/>
      <w:pPr>
        <w:ind w:left="720" w:hanging="360"/>
      </w:pPr>
      <w:rPr>
        <w:rFonts w:hint="default"/>
      </w:rPr>
    </w:lvl>
    <w:lvl w:ilvl="1" w:tplc="845C2D76" w:tentative="1">
      <w:start w:val="1"/>
      <w:numFmt w:val="lowerLetter"/>
      <w:lvlText w:val="%2."/>
      <w:lvlJc w:val="left"/>
      <w:pPr>
        <w:ind w:left="1440" w:hanging="360"/>
      </w:pPr>
    </w:lvl>
    <w:lvl w:ilvl="2" w:tplc="5A34E2A8" w:tentative="1">
      <w:start w:val="1"/>
      <w:numFmt w:val="lowerRoman"/>
      <w:lvlText w:val="%3."/>
      <w:lvlJc w:val="right"/>
      <w:pPr>
        <w:ind w:left="2160" w:hanging="180"/>
      </w:pPr>
    </w:lvl>
    <w:lvl w:ilvl="3" w:tplc="F38A7A00" w:tentative="1">
      <w:start w:val="1"/>
      <w:numFmt w:val="decimal"/>
      <w:lvlText w:val="%4."/>
      <w:lvlJc w:val="left"/>
      <w:pPr>
        <w:ind w:left="2880" w:hanging="360"/>
      </w:pPr>
    </w:lvl>
    <w:lvl w:ilvl="4" w:tplc="E0CC7F22" w:tentative="1">
      <w:start w:val="1"/>
      <w:numFmt w:val="lowerLetter"/>
      <w:lvlText w:val="%5."/>
      <w:lvlJc w:val="left"/>
      <w:pPr>
        <w:ind w:left="3600" w:hanging="360"/>
      </w:pPr>
    </w:lvl>
    <w:lvl w:ilvl="5" w:tplc="B8FEA130" w:tentative="1">
      <w:start w:val="1"/>
      <w:numFmt w:val="lowerRoman"/>
      <w:lvlText w:val="%6."/>
      <w:lvlJc w:val="right"/>
      <w:pPr>
        <w:ind w:left="4320" w:hanging="180"/>
      </w:pPr>
    </w:lvl>
    <w:lvl w:ilvl="6" w:tplc="1C9E555E" w:tentative="1">
      <w:start w:val="1"/>
      <w:numFmt w:val="decimal"/>
      <w:lvlText w:val="%7."/>
      <w:lvlJc w:val="left"/>
      <w:pPr>
        <w:ind w:left="5040" w:hanging="360"/>
      </w:pPr>
    </w:lvl>
    <w:lvl w:ilvl="7" w:tplc="5B08954C" w:tentative="1">
      <w:start w:val="1"/>
      <w:numFmt w:val="lowerLetter"/>
      <w:lvlText w:val="%8."/>
      <w:lvlJc w:val="left"/>
      <w:pPr>
        <w:ind w:left="5760" w:hanging="360"/>
      </w:pPr>
    </w:lvl>
    <w:lvl w:ilvl="8" w:tplc="10BC82A8" w:tentative="1">
      <w:start w:val="1"/>
      <w:numFmt w:val="lowerRoman"/>
      <w:lvlText w:val="%9."/>
      <w:lvlJc w:val="right"/>
      <w:pPr>
        <w:ind w:left="6480" w:hanging="180"/>
      </w:pPr>
    </w:lvl>
  </w:abstractNum>
  <w:abstractNum w:abstractNumId="10" w15:restartNumberingAfterBreak="0">
    <w:nsid w:val="607D553B"/>
    <w:multiLevelType w:val="hybridMultilevel"/>
    <w:tmpl w:val="E7F09236"/>
    <w:lvl w:ilvl="0" w:tplc="C41E2A24">
      <w:start w:val="4"/>
      <w:numFmt w:val="bullet"/>
      <w:lvlText w:val=""/>
      <w:lvlJc w:val="left"/>
      <w:pPr>
        <w:ind w:left="720" w:hanging="360"/>
      </w:pPr>
      <w:rPr>
        <w:rFonts w:ascii="Symbol" w:eastAsia="Times New Roman" w:hAnsi="Symbol" w:cs="Arial" w:hint="default"/>
      </w:rPr>
    </w:lvl>
    <w:lvl w:ilvl="1" w:tplc="16483636" w:tentative="1">
      <w:start w:val="1"/>
      <w:numFmt w:val="bullet"/>
      <w:lvlText w:val="o"/>
      <w:lvlJc w:val="left"/>
      <w:pPr>
        <w:ind w:left="1440" w:hanging="360"/>
      </w:pPr>
      <w:rPr>
        <w:rFonts w:ascii="Courier New" w:hAnsi="Courier New" w:cs="Courier New" w:hint="default"/>
      </w:rPr>
    </w:lvl>
    <w:lvl w:ilvl="2" w:tplc="0CA8FBFE" w:tentative="1">
      <w:start w:val="1"/>
      <w:numFmt w:val="bullet"/>
      <w:lvlText w:val=""/>
      <w:lvlJc w:val="left"/>
      <w:pPr>
        <w:ind w:left="2160" w:hanging="360"/>
      </w:pPr>
      <w:rPr>
        <w:rFonts w:ascii="Wingdings" w:hAnsi="Wingdings" w:hint="default"/>
      </w:rPr>
    </w:lvl>
    <w:lvl w:ilvl="3" w:tplc="EE002A5C" w:tentative="1">
      <w:start w:val="1"/>
      <w:numFmt w:val="bullet"/>
      <w:lvlText w:val=""/>
      <w:lvlJc w:val="left"/>
      <w:pPr>
        <w:ind w:left="2880" w:hanging="360"/>
      </w:pPr>
      <w:rPr>
        <w:rFonts w:ascii="Symbol" w:hAnsi="Symbol" w:hint="default"/>
      </w:rPr>
    </w:lvl>
    <w:lvl w:ilvl="4" w:tplc="56FEE99E" w:tentative="1">
      <w:start w:val="1"/>
      <w:numFmt w:val="bullet"/>
      <w:lvlText w:val="o"/>
      <w:lvlJc w:val="left"/>
      <w:pPr>
        <w:ind w:left="3600" w:hanging="360"/>
      </w:pPr>
      <w:rPr>
        <w:rFonts w:ascii="Courier New" w:hAnsi="Courier New" w:cs="Courier New" w:hint="default"/>
      </w:rPr>
    </w:lvl>
    <w:lvl w:ilvl="5" w:tplc="129AF72A" w:tentative="1">
      <w:start w:val="1"/>
      <w:numFmt w:val="bullet"/>
      <w:lvlText w:val=""/>
      <w:lvlJc w:val="left"/>
      <w:pPr>
        <w:ind w:left="4320" w:hanging="360"/>
      </w:pPr>
      <w:rPr>
        <w:rFonts w:ascii="Wingdings" w:hAnsi="Wingdings" w:hint="default"/>
      </w:rPr>
    </w:lvl>
    <w:lvl w:ilvl="6" w:tplc="BB3C7BDE" w:tentative="1">
      <w:start w:val="1"/>
      <w:numFmt w:val="bullet"/>
      <w:lvlText w:val=""/>
      <w:lvlJc w:val="left"/>
      <w:pPr>
        <w:ind w:left="5040" w:hanging="360"/>
      </w:pPr>
      <w:rPr>
        <w:rFonts w:ascii="Symbol" w:hAnsi="Symbol" w:hint="default"/>
      </w:rPr>
    </w:lvl>
    <w:lvl w:ilvl="7" w:tplc="68D8ADCC" w:tentative="1">
      <w:start w:val="1"/>
      <w:numFmt w:val="bullet"/>
      <w:lvlText w:val="o"/>
      <w:lvlJc w:val="left"/>
      <w:pPr>
        <w:ind w:left="5760" w:hanging="360"/>
      </w:pPr>
      <w:rPr>
        <w:rFonts w:ascii="Courier New" w:hAnsi="Courier New" w:cs="Courier New" w:hint="default"/>
      </w:rPr>
    </w:lvl>
    <w:lvl w:ilvl="8" w:tplc="DC76390A"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E92A8D0A">
      <w:start w:val="1"/>
      <w:numFmt w:val="bullet"/>
      <w:pStyle w:val="Bullet"/>
      <w:lvlText w:val=""/>
      <w:lvlJc w:val="left"/>
      <w:pPr>
        <w:tabs>
          <w:tab w:val="num" w:pos="1080"/>
        </w:tabs>
        <w:ind w:left="1080" w:hanging="360"/>
      </w:pPr>
      <w:rPr>
        <w:rFonts w:ascii="Symbol" w:hAnsi="Symbol" w:hint="default"/>
      </w:rPr>
    </w:lvl>
    <w:lvl w:ilvl="1" w:tplc="35F2FE86" w:tentative="1">
      <w:start w:val="1"/>
      <w:numFmt w:val="bullet"/>
      <w:lvlText w:val="o"/>
      <w:lvlJc w:val="left"/>
      <w:pPr>
        <w:tabs>
          <w:tab w:val="num" w:pos="1800"/>
        </w:tabs>
        <w:ind w:left="1800" w:hanging="360"/>
      </w:pPr>
      <w:rPr>
        <w:rFonts w:ascii="Courier New" w:hAnsi="Courier New" w:hint="default"/>
      </w:rPr>
    </w:lvl>
    <w:lvl w:ilvl="2" w:tplc="E8C2FE84" w:tentative="1">
      <w:start w:val="1"/>
      <w:numFmt w:val="bullet"/>
      <w:lvlText w:val=""/>
      <w:lvlJc w:val="left"/>
      <w:pPr>
        <w:tabs>
          <w:tab w:val="num" w:pos="2520"/>
        </w:tabs>
        <w:ind w:left="2520" w:hanging="360"/>
      </w:pPr>
      <w:rPr>
        <w:rFonts w:ascii="Wingdings" w:hAnsi="Wingdings" w:hint="default"/>
      </w:rPr>
    </w:lvl>
    <w:lvl w:ilvl="3" w:tplc="DA28EF36" w:tentative="1">
      <w:start w:val="1"/>
      <w:numFmt w:val="bullet"/>
      <w:lvlText w:val=""/>
      <w:lvlJc w:val="left"/>
      <w:pPr>
        <w:tabs>
          <w:tab w:val="num" w:pos="3240"/>
        </w:tabs>
        <w:ind w:left="3240" w:hanging="360"/>
      </w:pPr>
      <w:rPr>
        <w:rFonts w:ascii="Symbol" w:hAnsi="Symbol" w:hint="default"/>
      </w:rPr>
    </w:lvl>
    <w:lvl w:ilvl="4" w:tplc="800CEB70" w:tentative="1">
      <w:start w:val="1"/>
      <w:numFmt w:val="bullet"/>
      <w:lvlText w:val="o"/>
      <w:lvlJc w:val="left"/>
      <w:pPr>
        <w:tabs>
          <w:tab w:val="num" w:pos="3960"/>
        </w:tabs>
        <w:ind w:left="3960" w:hanging="360"/>
      </w:pPr>
      <w:rPr>
        <w:rFonts w:ascii="Courier New" w:hAnsi="Courier New" w:hint="default"/>
      </w:rPr>
    </w:lvl>
    <w:lvl w:ilvl="5" w:tplc="F00E0EE8" w:tentative="1">
      <w:start w:val="1"/>
      <w:numFmt w:val="bullet"/>
      <w:lvlText w:val=""/>
      <w:lvlJc w:val="left"/>
      <w:pPr>
        <w:tabs>
          <w:tab w:val="num" w:pos="4680"/>
        </w:tabs>
        <w:ind w:left="4680" w:hanging="360"/>
      </w:pPr>
      <w:rPr>
        <w:rFonts w:ascii="Wingdings" w:hAnsi="Wingdings" w:hint="default"/>
      </w:rPr>
    </w:lvl>
    <w:lvl w:ilvl="6" w:tplc="43D22F4A" w:tentative="1">
      <w:start w:val="1"/>
      <w:numFmt w:val="bullet"/>
      <w:lvlText w:val=""/>
      <w:lvlJc w:val="left"/>
      <w:pPr>
        <w:tabs>
          <w:tab w:val="num" w:pos="5400"/>
        </w:tabs>
        <w:ind w:left="5400" w:hanging="360"/>
      </w:pPr>
      <w:rPr>
        <w:rFonts w:ascii="Symbol" w:hAnsi="Symbol" w:hint="default"/>
      </w:rPr>
    </w:lvl>
    <w:lvl w:ilvl="7" w:tplc="96FE367C" w:tentative="1">
      <w:start w:val="1"/>
      <w:numFmt w:val="bullet"/>
      <w:lvlText w:val="o"/>
      <w:lvlJc w:val="left"/>
      <w:pPr>
        <w:tabs>
          <w:tab w:val="num" w:pos="6120"/>
        </w:tabs>
        <w:ind w:left="6120" w:hanging="360"/>
      </w:pPr>
      <w:rPr>
        <w:rFonts w:ascii="Courier New" w:hAnsi="Courier New" w:hint="default"/>
      </w:rPr>
    </w:lvl>
    <w:lvl w:ilvl="8" w:tplc="BAAE3C7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E460AB2"/>
    <w:multiLevelType w:val="hybridMultilevel"/>
    <w:tmpl w:val="5462C00E"/>
    <w:lvl w:ilvl="0" w:tplc="314800B4">
      <w:start w:val="1"/>
      <w:numFmt w:val="decimal"/>
      <w:lvlText w:val="%1."/>
      <w:lvlJc w:val="left"/>
      <w:pPr>
        <w:ind w:left="720" w:hanging="360"/>
      </w:pPr>
    </w:lvl>
    <w:lvl w:ilvl="1" w:tplc="6F6E3E3E">
      <w:start w:val="1"/>
      <w:numFmt w:val="lowerLetter"/>
      <w:lvlText w:val="%2."/>
      <w:lvlJc w:val="left"/>
      <w:pPr>
        <w:ind w:left="1440" w:hanging="360"/>
      </w:pPr>
      <w:rPr>
        <w:rFonts w:hint="default"/>
        <w:b w:val="0"/>
      </w:rPr>
    </w:lvl>
    <w:lvl w:ilvl="2" w:tplc="38F0D046">
      <w:start w:val="1"/>
      <w:numFmt w:val="lowerRoman"/>
      <w:lvlText w:val="%3."/>
      <w:lvlJc w:val="right"/>
      <w:pPr>
        <w:ind w:left="2160" w:hanging="180"/>
      </w:pPr>
    </w:lvl>
    <w:lvl w:ilvl="3" w:tplc="9B129AA4" w:tentative="1">
      <w:start w:val="1"/>
      <w:numFmt w:val="decimal"/>
      <w:lvlText w:val="%4."/>
      <w:lvlJc w:val="left"/>
      <w:pPr>
        <w:ind w:left="2880" w:hanging="360"/>
      </w:pPr>
    </w:lvl>
    <w:lvl w:ilvl="4" w:tplc="071C2190" w:tentative="1">
      <w:start w:val="1"/>
      <w:numFmt w:val="lowerLetter"/>
      <w:lvlText w:val="%5."/>
      <w:lvlJc w:val="left"/>
      <w:pPr>
        <w:ind w:left="3600" w:hanging="360"/>
      </w:pPr>
    </w:lvl>
    <w:lvl w:ilvl="5" w:tplc="D7A8C8F0" w:tentative="1">
      <w:start w:val="1"/>
      <w:numFmt w:val="lowerRoman"/>
      <w:lvlText w:val="%6."/>
      <w:lvlJc w:val="right"/>
      <w:pPr>
        <w:ind w:left="4320" w:hanging="180"/>
      </w:pPr>
    </w:lvl>
    <w:lvl w:ilvl="6" w:tplc="455AF880" w:tentative="1">
      <w:start w:val="1"/>
      <w:numFmt w:val="decimal"/>
      <w:lvlText w:val="%7."/>
      <w:lvlJc w:val="left"/>
      <w:pPr>
        <w:ind w:left="5040" w:hanging="360"/>
      </w:pPr>
    </w:lvl>
    <w:lvl w:ilvl="7" w:tplc="DC8684B0" w:tentative="1">
      <w:start w:val="1"/>
      <w:numFmt w:val="lowerLetter"/>
      <w:lvlText w:val="%8."/>
      <w:lvlJc w:val="left"/>
      <w:pPr>
        <w:ind w:left="5760" w:hanging="360"/>
      </w:pPr>
    </w:lvl>
    <w:lvl w:ilvl="8" w:tplc="F0D6E52E" w:tentative="1">
      <w:start w:val="1"/>
      <w:numFmt w:val="lowerRoman"/>
      <w:lvlText w:val="%9."/>
      <w:lvlJc w:val="right"/>
      <w:pPr>
        <w:ind w:left="6480" w:hanging="180"/>
      </w:pPr>
    </w:lvl>
  </w:abstractNum>
  <w:num w:numId="1" w16cid:durableId="2097170062">
    <w:abstractNumId w:val="0"/>
  </w:num>
  <w:num w:numId="2" w16cid:durableId="1831631955">
    <w:abstractNumId w:val="11"/>
  </w:num>
  <w:num w:numId="3" w16cid:durableId="1383138995">
    <w:abstractNumId w:val="12"/>
  </w:num>
  <w:num w:numId="4" w16cid:durableId="868570823">
    <w:abstractNumId w:val="9"/>
  </w:num>
  <w:num w:numId="5" w16cid:durableId="1663121966">
    <w:abstractNumId w:val="8"/>
  </w:num>
  <w:num w:numId="6" w16cid:durableId="1014116880">
    <w:abstractNumId w:val="4"/>
  </w:num>
  <w:num w:numId="7" w16cid:durableId="1282540764">
    <w:abstractNumId w:val="3"/>
  </w:num>
  <w:num w:numId="8" w16cid:durableId="161285570">
    <w:abstractNumId w:val="5"/>
  </w:num>
  <w:num w:numId="9" w16cid:durableId="1843738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559148">
    <w:abstractNumId w:val="2"/>
  </w:num>
  <w:num w:numId="11" w16cid:durableId="2029715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4651197">
    <w:abstractNumId w:val="6"/>
  </w:num>
  <w:num w:numId="13" w16cid:durableId="826630923">
    <w:abstractNumId w:val="1"/>
  </w:num>
  <w:num w:numId="14" w16cid:durableId="327756133">
    <w:abstractNumId w:val="7"/>
  </w:num>
  <w:num w:numId="15" w16cid:durableId="1926722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1A227D"/>
    <w:rsid w:val="00000054"/>
    <w:rsid w:val="00003A39"/>
    <w:rsid w:val="0001109E"/>
    <w:rsid w:val="00012DA5"/>
    <w:rsid w:val="0002450E"/>
    <w:rsid w:val="0002703C"/>
    <w:rsid w:val="0003401B"/>
    <w:rsid w:val="00037668"/>
    <w:rsid w:val="00042B82"/>
    <w:rsid w:val="00047888"/>
    <w:rsid w:val="00053DAC"/>
    <w:rsid w:val="00060FF6"/>
    <w:rsid w:val="00073309"/>
    <w:rsid w:val="00075A94"/>
    <w:rsid w:val="00080464"/>
    <w:rsid w:val="0008098B"/>
    <w:rsid w:val="0008162E"/>
    <w:rsid w:val="00081E47"/>
    <w:rsid w:val="00091905"/>
    <w:rsid w:val="000A1ACC"/>
    <w:rsid w:val="000A5B1F"/>
    <w:rsid w:val="000A772C"/>
    <w:rsid w:val="000B038C"/>
    <w:rsid w:val="000C147F"/>
    <w:rsid w:val="000C3321"/>
    <w:rsid w:val="000C573E"/>
    <w:rsid w:val="000D5E22"/>
    <w:rsid w:val="000E52FE"/>
    <w:rsid w:val="000F302C"/>
    <w:rsid w:val="000F3599"/>
    <w:rsid w:val="001039CA"/>
    <w:rsid w:val="0010763A"/>
    <w:rsid w:val="0011141A"/>
    <w:rsid w:val="00114208"/>
    <w:rsid w:val="00115C61"/>
    <w:rsid w:val="001219CA"/>
    <w:rsid w:val="00127B9C"/>
    <w:rsid w:val="0013206C"/>
    <w:rsid w:val="00132855"/>
    <w:rsid w:val="00136F57"/>
    <w:rsid w:val="00140999"/>
    <w:rsid w:val="00146F95"/>
    <w:rsid w:val="0014732A"/>
    <w:rsid w:val="00151D74"/>
    <w:rsid w:val="00152993"/>
    <w:rsid w:val="00155375"/>
    <w:rsid w:val="00161AEA"/>
    <w:rsid w:val="00166477"/>
    <w:rsid w:val="00170297"/>
    <w:rsid w:val="00171A46"/>
    <w:rsid w:val="001775A0"/>
    <w:rsid w:val="00177C3F"/>
    <w:rsid w:val="0019239E"/>
    <w:rsid w:val="00194DB7"/>
    <w:rsid w:val="001961EA"/>
    <w:rsid w:val="001A227D"/>
    <w:rsid w:val="001A3FAA"/>
    <w:rsid w:val="001B1D23"/>
    <w:rsid w:val="001B7815"/>
    <w:rsid w:val="001C31A2"/>
    <w:rsid w:val="001C52ED"/>
    <w:rsid w:val="001E2032"/>
    <w:rsid w:val="001E2C21"/>
    <w:rsid w:val="001E5531"/>
    <w:rsid w:val="001E7197"/>
    <w:rsid w:val="001E7A54"/>
    <w:rsid w:val="001F7F57"/>
    <w:rsid w:val="00200849"/>
    <w:rsid w:val="00202CB5"/>
    <w:rsid w:val="00204F72"/>
    <w:rsid w:val="00206B85"/>
    <w:rsid w:val="00207B8E"/>
    <w:rsid w:val="002114F2"/>
    <w:rsid w:val="00211F88"/>
    <w:rsid w:val="0021240D"/>
    <w:rsid w:val="00212DED"/>
    <w:rsid w:val="00213F54"/>
    <w:rsid w:val="00220ABD"/>
    <w:rsid w:val="00221E4B"/>
    <w:rsid w:val="00232125"/>
    <w:rsid w:val="00234012"/>
    <w:rsid w:val="00245402"/>
    <w:rsid w:val="0025304B"/>
    <w:rsid w:val="00253446"/>
    <w:rsid w:val="00256D6E"/>
    <w:rsid w:val="00260FD7"/>
    <w:rsid w:val="0026219B"/>
    <w:rsid w:val="00266019"/>
    <w:rsid w:val="00277681"/>
    <w:rsid w:val="002807BB"/>
    <w:rsid w:val="00280BCC"/>
    <w:rsid w:val="00290526"/>
    <w:rsid w:val="00290F57"/>
    <w:rsid w:val="0029406B"/>
    <w:rsid w:val="00297DDC"/>
    <w:rsid w:val="00297EAC"/>
    <w:rsid w:val="002A57FB"/>
    <w:rsid w:val="002B560C"/>
    <w:rsid w:val="002B57A6"/>
    <w:rsid w:val="002B64FE"/>
    <w:rsid w:val="002C66BA"/>
    <w:rsid w:val="002D0FD0"/>
    <w:rsid w:val="002D3345"/>
    <w:rsid w:val="002D3753"/>
    <w:rsid w:val="002D3E21"/>
    <w:rsid w:val="002D7158"/>
    <w:rsid w:val="002E058B"/>
    <w:rsid w:val="002E15E7"/>
    <w:rsid w:val="002E4F91"/>
    <w:rsid w:val="003010C0"/>
    <w:rsid w:val="00306E15"/>
    <w:rsid w:val="00312762"/>
    <w:rsid w:val="00313CF0"/>
    <w:rsid w:val="00315003"/>
    <w:rsid w:val="00317CF2"/>
    <w:rsid w:val="0032613F"/>
    <w:rsid w:val="00330A21"/>
    <w:rsid w:val="00332A97"/>
    <w:rsid w:val="00344EFC"/>
    <w:rsid w:val="00350AF0"/>
    <w:rsid w:val="00350C00"/>
    <w:rsid w:val="00351452"/>
    <w:rsid w:val="00353FD6"/>
    <w:rsid w:val="0035466B"/>
    <w:rsid w:val="003561CD"/>
    <w:rsid w:val="003568E9"/>
    <w:rsid w:val="00361FEF"/>
    <w:rsid w:val="00366113"/>
    <w:rsid w:val="00377216"/>
    <w:rsid w:val="00377DEC"/>
    <w:rsid w:val="00387BC8"/>
    <w:rsid w:val="00390A98"/>
    <w:rsid w:val="00391770"/>
    <w:rsid w:val="003931E9"/>
    <w:rsid w:val="003941A4"/>
    <w:rsid w:val="003A3F27"/>
    <w:rsid w:val="003B0077"/>
    <w:rsid w:val="003B3E20"/>
    <w:rsid w:val="003C270C"/>
    <w:rsid w:val="003C41E6"/>
    <w:rsid w:val="003C437E"/>
    <w:rsid w:val="003D0994"/>
    <w:rsid w:val="003D3B77"/>
    <w:rsid w:val="003E0616"/>
    <w:rsid w:val="003E1984"/>
    <w:rsid w:val="003E2AB5"/>
    <w:rsid w:val="003E3A86"/>
    <w:rsid w:val="003E6CF2"/>
    <w:rsid w:val="003E6DBC"/>
    <w:rsid w:val="003E708F"/>
    <w:rsid w:val="004010D7"/>
    <w:rsid w:val="00410438"/>
    <w:rsid w:val="004137D2"/>
    <w:rsid w:val="00414D58"/>
    <w:rsid w:val="00422382"/>
    <w:rsid w:val="00423824"/>
    <w:rsid w:val="00425059"/>
    <w:rsid w:val="00425162"/>
    <w:rsid w:val="004311FF"/>
    <w:rsid w:val="00434BF2"/>
    <w:rsid w:val="0043567D"/>
    <w:rsid w:val="00436C28"/>
    <w:rsid w:val="00437DDC"/>
    <w:rsid w:val="00437FAF"/>
    <w:rsid w:val="004413CF"/>
    <w:rsid w:val="00452605"/>
    <w:rsid w:val="00453C33"/>
    <w:rsid w:val="00461E83"/>
    <w:rsid w:val="00466802"/>
    <w:rsid w:val="00467ACC"/>
    <w:rsid w:val="00481350"/>
    <w:rsid w:val="00484099"/>
    <w:rsid w:val="00492654"/>
    <w:rsid w:val="00497EAF"/>
    <w:rsid w:val="004A0096"/>
    <w:rsid w:val="004B3073"/>
    <w:rsid w:val="004B5011"/>
    <w:rsid w:val="004B7B90"/>
    <w:rsid w:val="004D09C6"/>
    <w:rsid w:val="004E0E23"/>
    <w:rsid w:val="004E2C19"/>
    <w:rsid w:val="004E31BD"/>
    <w:rsid w:val="004E5197"/>
    <w:rsid w:val="004E5E48"/>
    <w:rsid w:val="004E6167"/>
    <w:rsid w:val="00502CB7"/>
    <w:rsid w:val="00505F7D"/>
    <w:rsid w:val="0050768D"/>
    <w:rsid w:val="0051232E"/>
    <w:rsid w:val="0051397B"/>
    <w:rsid w:val="0051635E"/>
    <w:rsid w:val="005164D4"/>
    <w:rsid w:val="005177E6"/>
    <w:rsid w:val="00522F22"/>
    <w:rsid w:val="005233DC"/>
    <w:rsid w:val="00527A92"/>
    <w:rsid w:val="0054231A"/>
    <w:rsid w:val="005444C7"/>
    <w:rsid w:val="00544F7C"/>
    <w:rsid w:val="00561132"/>
    <w:rsid w:val="005661EB"/>
    <w:rsid w:val="00566DCD"/>
    <w:rsid w:val="00577531"/>
    <w:rsid w:val="00586842"/>
    <w:rsid w:val="00591857"/>
    <w:rsid w:val="00592476"/>
    <w:rsid w:val="005964E5"/>
    <w:rsid w:val="005A1ED7"/>
    <w:rsid w:val="005A2AC6"/>
    <w:rsid w:val="005B35EE"/>
    <w:rsid w:val="005B36E0"/>
    <w:rsid w:val="005B560C"/>
    <w:rsid w:val="005C16D6"/>
    <w:rsid w:val="005C7153"/>
    <w:rsid w:val="005D284C"/>
    <w:rsid w:val="005D2CB5"/>
    <w:rsid w:val="005D5B94"/>
    <w:rsid w:val="005E388E"/>
    <w:rsid w:val="005F40C4"/>
    <w:rsid w:val="005F5B4E"/>
    <w:rsid w:val="00604512"/>
    <w:rsid w:val="0061075C"/>
    <w:rsid w:val="00612C67"/>
    <w:rsid w:val="00613C5F"/>
    <w:rsid w:val="0063015D"/>
    <w:rsid w:val="00633E23"/>
    <w:rsid w:val="00645CFC"/>
    <w:rsid w:val="00646350"/>
    <w:rsid w:val="0065178C"/>
    <w:rsid w:val="00656323"/>
    <w:rsid w:val="00661110"/>
    <w:rsid w:val="006623D8"/>
    <w:rsid w:val="006679F8"/>
    <w:rsid w:val="00671C43"/>
    <w:rsid w:val="00673B94"/>
    <w:rsid w:val="00677438"/>
    <w:rsid w:val="00680AC6"/>
    <w:rsid w:val="00680D9C"/>
    <w:rsid w:val="0068169A"/>
    <w:rsid w:val="006835D8"/>
    <w:rsid w:val="00686A17"/>
    <w:rsid w:val="00687570"/>
    <w:rsid w:val="00693390"/>
    <w:rsid w:val="006939CE"/>
    <w:rsid w:val="00697626"/>
    <w:rsid w:val="006B1026"/>
    <w:rsid w:val="006B1E8C"/>
    <w:rsid w:val="006B2BF3"/>
    <w:rsid w:val="006B3964"/>
    <w:rsid w:val="006B4272"/>
    <w:rsid w:val="006C0355"/>
    <w:rsid w:val="006C1FAD"/>
    <w:rsid w:val="006C316E"/>
    <w:rsid w:val="006C4FEA"/>
    <w:rsid w:val="006C7907"/>
    <w:rsid w:val="006D0F7C"/>
    <w:rsid w:val="006D5DA7"/>
    <w:rsid w:val="006E3C43"/>
    <w:rsid w:val="006E6E64"/>
    <w:rsid w:val="006E7E12"/>
    <w:rsid w:val="006F43D1"/>
    <w:rsid w:val="006F7161"/>
    <w:rsid w:val="007015B3"/>
    <w:rsid w:val="007120BC"/>
    <w:rsid w:val="00713282"/>
    <w:rsid w:val="00716B92"/>
    <w:rsid w:val="0072015B"/>
    <w:rsid w:val="00725E92"/>
    <w:rsid w:val="0072682D"/>
    <w:rsid w:val="007269C4"/>
    <w:rsid w:val="00731F04"/>
    <w:rsid w:val="00733AD5"/>
    <w:rsid w:val="00740D24"/>
    <w:rsid w:val="0074209E"/>
    <w:rsid w:val="00743759"/>
    <w:rsid w:val="0074384D"/>
    <w:rsid w:val="00744E33"/>
    <w:rsid w:val="00745AE9"/>
    <w:rsid w:val="00753FE3"/>
    <w:rsid w:val="0076237D"/>
    <w:rsid w:val="007676C5"/>
    <w:rsid w:val="00767F29"/>
    <w:rsid w:val="007865D5"/>
    <w:rsid w:val="007902E5"/>
    <w:rsid w:val="007A1539"/>
    <w:rsid w:val="007A1CB9"/>
    <w:rsid w:val="007A51A1"/>
    <w:rsid w:val="007B2B38"/>
    <w:rsid w:val="007B7AEF"/>
    <w:rsid w:val="007C0AF8"/>
    <w:rsid w:val="007C51AC"/>
    <w:rsid w:val="007E0F83"/>
    <w:rsid w:val="007E222D"/>
    <w:rsid w:val="007E3ABB"/>
    <w:rsid w:val="007E3C4E"/>
    <w:rsid w:val="007F2CA8"/>
    <w:rsid w:val="007F7161"/>
    <w:rsid w:val="00802984"/>
    <w:rsid w:val="008033DC"/>
    <w:rsid w:val="00806F83"/>
    <w:rsid w:val="00811C90"/>
    <w:rsid w:val="00813B5B"/>
    <w:rsid w:val="0081595A"/>
    <w:rsid w:val="0081722C"/>
    <w:rsid w:val="0082090B"/>
    <w:rsid w:val="008222E5"/>
    <w:rsid w:val="00823BB0"/>
    <w:rsid w:val="00832E2F"/>
    <w:rsid w:val="0084654A"/>
    <w:rsid w:val="008465CF"/>
    <w:rsid w:val="0085559E"/>
    <w:rsid w:val="00856754"/>
    <w:rsid w:val="0086451E"/>
    <w:rsid w:val="008662E2"/>
    <w:rsid w:val="008700D4"/>
    <w:rsid w:val="00871582"/>
    <w:rsid w:val="00873691"/>
    <w:rsid w:val="00874DDB"/>
    <w:rsid w:val="00883676"/>
    <w:rsid w:val="00883CCC"/>
    <w:rsid w:val="0088629D"/>
    <w:rsid w:val="008867A4"/>
    <w:rsid w:val="008876C1"/>
    <w:rsid w:val="00896B1B"/>
    <w:rsid w:val="008A0685"/>
    <w:rsid w:val="008A371D"/>
    <w:rsid w:val="008A58D8"/>
    <w:rsid w:val="008B19DA"/>
    <w:rsid w:val="008C2560"/>
    <w:rsid w:val="008E2FE1"/>
    <w:rsid w:val="008E559E"/>
    <w:rsid w:val="008F3B03"/>
    <w:rsid w:val="008F66F8"/>
    <w:rsid w:val="008F6BC1"/>
    <w:rsid w:val="008F75D7"/>
    <w:rsid w:val="008F7626"/>
    <w:rsid w:val="009006E0"/>
    <w:rsid w:val="0091015C"/>
    <w:rsid w:val="00914B74"/>
    <w:rsid w:val="00916080"/>
    <w:rsid w:val="00917BD6"/>
    <w:rsid w:val="00921A25"/>
    <w:rsid w:val="00921A68"/>
    <w:rsid w:val="0092233A"/>
    <w:rsid w:val="009227EF"/>
    <w:rsid w:val="00922E7A"/>
    <w:rsid w:val="00923848"/>
    <w:rsid w:val="009308BC"/>
    <w:rsid w:val="00930FCB"/>
    <w:rsid w:val="0093149B"/>
    <w:rsid w:val="0093171A"/>
    <w:rsid w:val="00932DC0"/>
    <w:rsid w:val="00934B4B"/>
    <w:rsid w:val="009354A4"/>
    <w:rsid w:val="00936BB8"/>
    <w:rsid w:val="00950D8A"/>
    <w:rsid w:val="009562AD"/>
    <w:rsid w:val="0096287F"/>
    <w:rsid w:val="009630A5"/>
    <w:rsid w:val="00964223"/>
    <w:rsid w:val="00965CD6"/>
    <w:rsid w:val="00972B1C"/>
    <w:rsid w:val="00986ACF"/>
    <w:rsid w:val="00993461"/>
    <w:rsid w:val="009A12BC"/>
    <w:rsid w:val="009C35BE"/>
    <w:rsid w:val="009D0D06"/>
    <w:rsid w:val="009D10CB"/>
    <w:rsid w:val="009D1C08"/>
    <w:rsid w:val="009D31B3"/>
    <w:rsid w:val="009D36B6"/>
    <w:rsid w:val="009D4443"/>
    <w:rsid w:val="009D68B0"/>
    <w:rsid w:val="009E1E6D"/>
    <w:rsid w:val="009E5A5A"/>
    <w:rsid w:val="009F07FF"/>
    <w:rsid w:val="009F0AD7"/>
    <w:rsid w:val="009F372F"/>
    <w:rsid w:val="00A015C4"/>
    <w:rsid w:val="00A01F5E"/>
    <w:rsid w:val="00A07F6D"/>
    <w:rsid w:val="00A15172"/>
    <w:rsid w:val="00A17E6B"/>
    <w:rsid w:val="00A24EDD"/>
    <w:rsid w:val="00A300AB"/>
    <w:rsid w:val="00A31127"/>
    <w:rsid w:val="00A332BB"/>
    <w:rsid w:val="00A417D2"/>
    <w:rsid w:val="00A45D99"/>
    <w:rsid w:val="00A46E01"/>
    <w:rsid w:val="00A47902"/>
    <w:rsid w:val="00A47AC2"/>
    <w:rsid w:val="00A567BB"/>
    <w:rsid w:val="00A56B77"/>
    <w:rsid w:val="00A729D5"/>
    <w:rsid w:val="00A75D95"/>
    <w:rsid w:val="00A773B3"/>
    <w:rsid w:val="00A806CE"/>
    <w:rsid w:val="00A8073C"/>
    <w:rsid w:val="00A848C1"/>
    <w:rsid w:val="00A870E8"/>
    <w:rsid w:val="00A97AB9"/>
    <w:rsid w:val="00A97E29"/>
    <w:rsid w:val="00AA4AAB"/>
    <w:rsid w:val="00AA6498"/>
    <w:rsid w:val="00AB0CA5"/>
    <w:rsid w:val="00AD165F"/>
    <w:rsid w:val="00AD18F6"/>
    <w:rsid w:val="00AD1CCD"/>
    <w:rsid w:val="00AD5B3B"/>
    <w:rsid w:val="00AD7E53"/>
    <w:rsid w:val="00AE18AE"/>
    <w:rsid w:val="00AE3190"/>
    <w:rsid w:val="00AE7608"/>
    <w:rsid w:val="00AF39A9"/>
    <w:rsid w:val="00B034A5"/>
    <w:rsid w:val="00B11B08"/>
    <w:rsid w:val="00B126D0"/>
    <w:rsid w:val="00B13F46"/>
    <w:rsid w:val="00B15822"/>
    <w:rsid w:val="00B15BA1"/>
    <w:rsid w:val="00B34D74"/>
    <w:rsid w:val="00B355D8"/>
    <w:rsid w:val="00B36523"/>
    <w:rsid w:val="00B41DA2"/>
    <w:rsid w:val="00B42C57"/>
    <w:rsid w:val="00B451F1"/>
    <w:rsid w:val="00B452A2"/>
    <w:rsid w:val="00B5080A"/>
    <w:rsid w:val="00B541FF"/>
    <w:rsid w:val="00B55BF6"/>
    <w:rsid w:val="00B67504"/>
    <w:rsid w:val="00B73761"/>
    <w:rsid w:val="00B73A85"/>
    <w:rsid w:val="00B743D9"/>
    <w:rsid w:val="00B76461"/>
    <w:rsid w:val="00B76D1D"/>
    <w:rsid w:val="00B82CA0"/>
    <w:rsid w:val="00B86ED6"/>
    <w:rsid w:val="00B87448"/>
    <w:rsid w:val="00B87A84"/>
    <w:rsid w:val="00B907BA"/>
    <w:rsid w:val="00B943AE"/>
    <w:rsid w:val="00B949F4"/>
    <w:rsid w:val="00B968DE"/>
    <w:rsid w:val="00BA78D0"/>
    <w:rsid w:val="00BC018C"/>
    <w:rsid w:val="00BD25F4"/>
    <w:rsid w:val="00BD511F"/>
    <w:rsid w:val="00BD5170"/>
    <w:rsid w:val="00BD7258"/>
    <w:rsid w:val="00BD7DA9"/>
    <w:rsid w:val="00BF3002"/>
    <w:rsid w:val="00BF578D"/>
    <w:rsid w:val="00C0598D"/>
    <w:rsid w:val="00C11956"/>
    <w:rsid w:val="00C1568D"/>
    <w:rsid w:val="00C166A3"/>
    <w:rsid w:val="00C23741"/>
    <w:rsid w:val="00C237BC"/>
    <w:rsid w:val="00C322EE"/>
    <w:rsid w:val="00C33823"/>
    <w:rsid w:val="00C34A0C"/>
    <w:rsid w:val="00C409A1"/>
    <w:rsid w:val="00C452C1"/>
    <w:rsid w:val="00C47A15"/>
    <w:rsid w:val="00C52571"/>
    <w:rsid w:val="00C602E5"/>
    <w:rsid w:val="00C65792"/>
    <w:rsid w:val="00C66B12"/>
    <w:rsid w:val="00C71B7C"/>
    <w:rsid w:val="00C748FD"/>
    <w:rsid w:val="00C809B6"/>
    <w:rsid w:val="00C90515"/>
    <w:rsid w:val="00C91E1B"/>
    <w:rsid w:val="00CA5A33"/>
    <w:rsid w:val="00CB6902"/>
    <w:rsid w:val="00CB73FB"/>
    <w:rsid w:val="00CC6CB7"/>
    <w:rsid w:val="00CC7A3B"/>
    <w:rsid w:val="00CD198E"/>
    <w:rsid w:val="00CD28C3"/>
    <w:rsid w:val="00CD6220"/>
    <w:rsid w:val="00CE2FEF"/>
    <w:rsid w:val="00CE39FB"/>
    <w:rsid w:val="00CF4D16"/>
    <w:rsid w:val="00D003AD"/>
    <w:rsid w:val="00D01AE7"/>
    <w:rsid w:val="00D20381"/>
    <w:rsid w:val="00D24F8C"/>
    <w:rsid w:val="00D313B3"/>
    <w:rsid w:val="00D4046E"/>
    <w:rsid w:val="00D41937"/>
    <w:rsid w:val="00D4362F"/>
    <w:rsid w:val="00D50517"/>
    <w:rsid w:val="00D509D3"/>
    <w:rsid w:val="00D5474B"/>
    <w:rsid w:val="00D5518C"/>
    <w:rsid w:val="00D60D07"/>
    <w:rsid w:val="00D7045A"/>
    <w:rsid w:val="00D73626"/>
    <w:rsid w:val="00D7477C"/>
    <w:rsid w:val="00D82C57"/>
    <w:rsid w:val="00D84C7F"/>
    <w:rsid w:val="00D87193"/>
    <w:rsid w:val="00D90443"/>
    <w:rsid w:val="00DA1B29"/>
    <w:rsid w:val="00DA477E"/>
    <w:rsid w:val="00DB23CC"/>
    <w:rsid w:val="00DB35E2"/>
    <w:rsid w:val="00DC374A"/>
    <w:rsid w:val="00DD0522"/>
    <w:rsid w:val="00DD18AA"/>
    <w:rsid w:val="00DD2A77"/>
    <w:rsid w:val="00DD4739"/>
    <w:rsid w:val="00DE5F33"/>
    <w:rsid w:val="00E07B54"/>
    <w:rsid w:val="00E11F78"/>
    <w:rsid w:val="00E15B5E"/>
    <w:rsid w:val="00E21B9B"/>
    <w:rsid w:val="00E322E3"/>
    <w:rsid w:val="00E32FD8"/>
    <w:rsid w:val="00E42667"/>
    <w:rsid w:val="00E43BDF"/>
    <w:rsid w:val="00E5156F"/>
    <w:rsid w:val="00E53B36"/>
    <w:rsid w:val="00E554DB"/>
    <w:rsid w:val="00E621E1"/>
    <w:rsid w:val="00E656C1"/>
    <w:rsid w:val="00E6654B"/>
    <w:rsid w:val="00E709DC"/>
    <w:rsid w:val="00E709E3"/>
    <w:rsid w:val="00E72DA5"/>
    <w:rsid w:val="00E800EB"/>
    <w:rsid w:val="00E928F8"/>
    <w:rsid w:val="00E95398"/>
    <w:rsid w:val="00EB453F"/>
    <w:rsid w:val="00EC55B3"/>
    <w:rsid w:val="00ED0388"/>
    <w:rsid w:val="00EE15E9"/>
    <w:rsid w:val="00EE6681"/>
    <w:rsid w:val="00EF60EE"/>
    <w:rsid w:val="00F05F9C"/>
    <w:rsid w:val="00F1235E"/>
    <w:rsid w:val="00F1373A"/>
    <w:rsid w:val="00F14174"/>
    <w:rsid w:val="00F14AA5"/>
    <w:rsid w:val="00F23509"/>
    <w:rsid w:val="00F30B91"/>
    <w:rsid w:val="00F30D1B"/>
    <w:rsid w:val="00F32769"/>
    <w:rsid w:val="00F340D0"/>
    <w:rsid w:val="00F5088A"/>
    <w:rsid w:val="00F57452"/>
    <w:rsid w:val="00F603B0"/>
    <w:rsid w:val="00F73CDE"/>
    <w:rsid w:val="00F81B74"/>
    <w:rsid w:val="00F86AE1"/>
    <w:rsid w:val="00F93D42"/>
    <w:rsid w:val="00F9469F"/>
    <w:rsid w:val="00F96FB2"/>
    <w:rsid w:val="00FA1826"/>
    <w:rsid w:val="00FA2859"/>
    <w:rsid w:val="00FA4681"/>
    <w:rsid w:val="00FB17E2"/>
    <w:rsid w:val="00FB39FB"/>
    <w:rsid w:val="00FB51D8"/>
    <w:rsid w:val="00FC1E46"/>
    <w:rsid w:val="00FC204A"/>
    <w:rsid w:val="00FD08E8"/>
    <w:rsid w:val="00FD4FBF"/>
    <w:rsid w:val="00FE175B"/>
    <w:rsid w:val="00FE1C88"/>
    <w:rsid w:val="00FE6154"/>
    <w:rsid w:val="00FE7AF5"/>
    <w:rsid w:val="00FF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2B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FB17E2"/>
    <w:rPr>
      <w:rFonts w:ascii="Arial" w:hAnsi="Arial"/>
      <w:b/>
      <w:bCs/>
      <w:sz w:val="24"/>
      <w:szCs w:val="24"/>
    </w:rPr>
  </w:style>
  <w:style w:type="character" w:styleId="UnresolvedMention">
    <w:name w:val="Unresolved Mention"/>
    <w:uiPriority w:val="99"/>
    <w:semiHidden/>
    <w:unhideWhenUsed/>
    <w:rsid w:val="00FB17E2"/>
    <w:rPr>
      <w:color w:val="605E5C"/>
      <w:shd w:val="clear" w:color="auto" w:fill="E1DFDD"/>
    </w:rPr>
  </w:style>
  <w:style w:type="table" w:customStyle="1" w:styleId="BoxedLanguage">
    <w:name w:val="Boxed Language"/>
    <w:basedOn w:val="TableNormal"/>
    <w:rsid w:val="002D0FD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2D0FD0"/>
    <w:rPr>
      <w:rFonts w:ascii="Arial" w:hAnsi="Arial"/>
      <w:sz w:val="24"/>
      <w:szCs w:val="24"/>
    </w:rPr>
  </w:style>
  <w:style w:type="paragraph" w:styleId="FootnoteText">
    <w:name w:val="footnote text"/>
    <w:basedOn w:val="Normal"/>
    <w:link w:val="FootnoteTextChar"/>
    <w:rsid w:val="00A806CE"/>
    <w:pPr>
      <w:jc w:val="both"/>
    </w:pPr>
    <w:rPr>
      <w:rFonts w:ascii="Arial" w:hAnsi="Arial"/>
      <w:sz w:val="20"/>
      <w:szCs w:val="20"/>
    </w:rPr>
  </w:style>
  <w:style w:type="character" w:customStyle="1" w:styleId="FootnoteTextChar">
    <w:name w:val="Footnote Text Char"/>
    <w:basedOn w:val="DefaultParagraphFont"/>
    <w:link w:val="FootnoteText"/>
    <w:rsid w:val="00A806CE"/>
    <w:rPr>
      <w:rFonts w:ascii="Arial" w:hAnsi="Arial"/>
    </w:rPr>
  </w:style>
  <w:style w:type="character" w:styleId="FootnoteReference">
    <w:name w:val="footnote reference"/>
    <w:rsid w:val="0019239E"/>
    <w:rPr>
      <w:vertAlign w:val="superscript"/>
    </w:rPr>
  </w:style>
  <w:style w:type="character" w:styleId="FollowedHyperlink">
    <w:name w:val="FollowedHyperlink"/>
    <w:rsid w:val="0091015C"/>
    <w:rPr>
      <w:color w:val="954F72"/>
      <w:u w:val="single"/>
    </w:rPr>
  </w:style>
  <w:style w:type="paragraph" w:styleId="Revision">
    <w:name w:val="Revision"/>
    <w:hidden/>
    <w:uiPriority w:val="99"/>
    <w:semiHidden/>
    <w:rsid w:val="00D84C7F"/>
    <w:rPr>
      <w:sz w:val="24"/>
      <w:szCs w:val="24"/>
    </w:rPr>
  </w:style>
  <w:style w:type="paragraph" w:customStyle="1" w:styleId="xmsonormal">
    <w:name w:val="x_msonormal"/>
    <w:basedOn w:val="Normal"/>
    <w:rsid w:val="00BC018C"/>
    <w:pPr>
      <w:spacing w:before="100" w:beforeAutospacing="1" w:after="100" w:afterAutospacing="1"/>
    </w:pPr>
  </w:style>
  <w:style w:type="character" w:customStyle="1" w:styleId="apple-converted-space">
    <w:name w:val="apple-converted-space"/>
    <w:basedOn w:val="DefaultParagraphFont"/>
    <w:rsid w:val="00BC018C"/>
  </w:style>
  <w:style w:type="paragraph" w:styleId="ListParagraph">
    <w:name w:val="List Paragraph"/>
    <w:basedOn w:val="Normal"/>
    <w:uiPriority w:val="34"/>
    <w:qFormat/>
    <w:rsid w:val="000A1A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rcot.com/files/docs/2023/08/22/1186NPRR-19%20TAC%20Report%20082223.docx" TargetMode="External"/><Relationship Id="rId4" Type="http://schemas.openxmlformats.org/officeDocument/2006/relationships/settings" Target="settings.xml"/><Relationship Id="rId9" Type="http://schemas.openxmlformats.org/officeDocument/2006/relationships/hyperlink" Target="mailto:ssmith@eolianenergy.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files/docs/2023/08/21/1186NPRR-17%20Joint%20Commenters%20Comments%20082123.docx" TargetMode="External"/><Relationship Id="rId7" Type="http://schemas.openxmlformats.org/officeDocument/2006/relationships/hyperlink" Target="https://www.ercot.com/files/docs/2023/09/19/1186NPRR-27%20ERCOT%20Comments%20091923.docx" TargetMode="External"/><Relationship Id="rId2" Type="http://schemas.openxmlformats.org/officeDocument/2006/relationships/hyperlink" Target="https://www.ercot.com/files/docs/2023/08/09/1186NPRR-11%20Joint%20Commenters%20Comments%20080923%20v2%20CORRECTED.docx" TargetMode="External"/><Relationship Id="rId1" Type="http://schemas.openxmlformats.org/officeDocument/2006/relationships/hyperlink" Target="https://www.ercot.com/files/docs/2023/07/06/1186NPRR-03%20Eolian%20Comments%20070623.docx" TargetMode="External"/><Relationship Id="rId6" Type="http://schemas.openxmlformats.org/officeDocument/2006/relationships/hyperlink" Target="https://www.ercot.com/files/docs/2023/09/19/1186NPRR-27%20ERCOT%20Comments%20091923.docx" TargetMode="External"/><Relationship Id="rId5" Type="http://schemas.openxmlformats.org/officeDocument/2006/relationships/hyperlink" Target="https://www.ercot.com/files/docs/2023/09/19/1186NPRR-27%20ERCOT%20Comments%20091923.docx" TargetMode="External"/><Relationship Id="rId4" Type="http://schemas.openxmlformats.org/officeDocument/2006/relationships/hyperlink" Target="https://www.ercot.com/files/docs/2023/08/24/1186NPRR-20%20Eolian%20TAC%20Recommendation%20Opposition%200824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1B1C-74B4-4D9E-88AB-74A477F0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9713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2023-09-25T21:08:00Z</dcterms:created>
  <dcterms:modified xsi:type="dcterms:W3CDTF">2023-09-25T21:08:00Z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2023-09-25T21:08:07Z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71c7595b-2af9-4454-9151-bc3d4c3f179e</vt:lpwstr>
  </property>
  <property fmtid="{D5CDD505-2E9C-101B-9397-08002B2CF9AE}" pid="8" name="MSIP_Label_7084cbda-52b8-46fb-a7b7-cb5bd465ed85_ContentBits">
    <vt:lpwstr>0</vt:lpwstr>
  </property>
</Properties>
</file>